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ATAS/665/2023 vom 4. April 2023</w:t>
      </w:r>
    </w:p>
    <w:p>
      <w:r>
        <w:t>GE Cour de justice, 2023-04-04, FR</w:t>
      </w:r>
    </w:p>
    <w:p>
      <w:r>
        <w:rPr>
          <w:b/>
        </w:rPr>
        <w:t xml:space="preserve">Quelle: </w:t>
      </w:r>
      <w:r>
        <w:t>https://mcp.opencaselaw.ch/entscheid/ge_gerichte_ATAS_665_2023</w:t>
      </w:r>
    </w:p>
    <w:p>
      <w:r>
        <w:t>FR: GE_GERICHTE ATAS/665/2023 du 4 avril 2023</w:t>
      </w:r>
    </w:p>
    <w:p>
      <w:r>
        <w:t>IT: GE_GERICHTE ATAS/665/2023 del 4 aprile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1er janvier 2021 est entrée en vigueur la modification du 21 juin 2019 de la LPGA. Interjeté postérieurement au 1er janvier 2021, le recours est par conséquent soumis au nouveau droit (cf. art. 82a LPGA a contrario).</w:t>
      </w:r>
    </w:p>
    <w:p>
      <w:r>
        <w:t>- 3/4 -</w:t>
      </w:r>
    </w:p>
    <w:p>
      <w:r>
        <w:rPr>
          <w:b/>
        </w:rPr>
        <w:t>E. 3</w:t>
      </w:r>
    </w:p>
    <w:p>
      <w:r>
        <w:t>Interjeté dans la forme et le délai prévus par la loi, le recours est prima facie recevable (art. 56 et 60 de la LPGA; art. 89B de la loi sur la procédure administrative du 12 septembre 1985 [(LPA-GE - E 5 10)].</w:t>
      </w:r>
    </w:p>
    <w:p>
      <w:r>
        <w:rPr>
          <w:b/>
        </w:rPr>
        <w:t>E. 4</w:t>
      </w:r>
    </w:p>
    <w:p>
      <w:r>
        <w:t>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w:t>
      </w:r>
    </w:p>
    <w:p>
      <w:r>
        <w:rPr>
          <w:b/>
        </w:rPr>
        <w:t>E. 5</w:t>
      </w:r>
    </w:p>
    <w:p>
      <w:r>
        <w:t>En l’espèce, l’intimé est d’accord avec la restitution de l’effet suspensif et il convient, en conséquence, de donner une suite favorable à la requête du recourant.</w:t>
      </w:r>
    </w:p>
    <w:p>
      <w:r>
        <w:t>- 4/4 -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