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ATAS/665/2015 vom 7. September 2015</w:t>
      </w:r>
    </w:p>
    <w:p>
      <w:r>
        <w:t>GE Cour de justice, 2015-09-07, FR</w:t>
      </w:r>
    </w:p>
    <w:p>
      <w:r>
        <w:rPr>
          <w:b/>
        </w:rPr>
        <w:t xml:space="preserve">Quelle: </w:t>
      </w:r>
      <w:r>
        <w:t>https://mcp.opencaselaw.ch/entscheid/ge_gerichte_ATAS_665_2015</w:t>
      </w:r>
    </w:p>
    <w:p>
      <w:r>
        <w:t>FR: GE_GERICHTE ATAS/665/2015 du 7 septembre 2015</w:t>
      </w:r>
    </w:p>
    <w:p>
      <w:r>
        <w:t>IT: GE_GERICHTE ATAS/665/2015 del 7 settembre 2015</w:t>
      </w:r>
    </w:p>
    <w:p>
      <w:pPr>
        <w:pStyle w:val="Heading2"/>
      </w:pPr>
      <w:r>
        <w:t>Regeste</w:t>
      </w:r>
    </w:p>
    <w:p>
      <w:r>
        <w:t>Résumé: Chez un bénéficiare de prestations complémentaires dont le revenu varie chaque mois dans le cadre d'activités ponctuelles ou sur appel et qui informe régulièrement le SPC de ces changements, celui-ci n'est pas en droit de procéder à une adaptation du droit aux prestations au sens de l'art. 25 al. 1 let. c OPC-AVS/AI au vu du caractère temporaire de l'augmentation des revenus. En effet, ainsi que cela ressort de l'art. 25 al. 1 let. c OPC-AVS/AI, les modifications dans les revenus doivent être de longue durée, soit jusqu'à la fin de l'année civile pour laquelle la décision se rapporte pour que la prestation complémentaire puisse être modifiée. En outre, le SPC n'est pas en droit de procéder à une telle modification avec effect rétroactif lorsqu'il n'existe aucune violation de l'obligation de renseigner, ni motifs de révision procédurale ou de reconsidération au sens de l'art. 53 LPGA.</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A/1520/2015 - 9/17 -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Dans la procédure juridictionnelle administrative, la décision détermine l'objet de la contestation qui peut être déféré en justice par voie de recours (arrêt du Tribunal fédéral des assurances U 417/05 du 28 septembre 2006 consid. 1.1). En l’espèce, le recourant a interjeté recours contre les décisions de l’intimé statuant sur les oppositions contre les décisions du 14 octobre 2014 et du 18 novembre 2014. Ce sont donc les rapports juridiques réglés par ces décisions, soit le droit aux prestations du recourant depuis le 1er janvier 2014, qui font l’objet du litige. Il s’agit plus particulièrement d’examiner si c’est à juste titre que l’intimé a adapté le montant des prestations complémentaires en fonction des gains réalisés et de l’augmentation des rentes complémentaires destinées aux enfants du recourant, et s’il est fondé à réclamer la restitution des prestations versées en trop selon ses nouveaux calculs. En revanche, la demande de restitution qui fait l’objet de la décision du 22 août 2014 est entrée en force, de sorte qu’elle ne fait pas l’objet du litige et que la chambre de céans ne peut revenir sur ce point. La remise et son étendue font l'objet d'une procédure distincte de la restitution (arrêt du Tribunal fédéral P 64/06 du 30 octobre 2007 consid. 4). Ce point ne fait pas partie du litige.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t>A/1520/2015 - 10/17 -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6</w:t>
      </w:r>
    </w:p>
    <w:p>
      <w:r>
        <w:t>a) Conformément à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S'agissant du revenu déterminant pour les prestations complémentaires cantonales, il y a lieu de préciser qu'il est calculé conformément aux règles fixées dans la loi fédérale, moyennant certaines adaptations dont la suivante est pertinente en l'espèce: les prestations complémentaires fédérales sont ajoutées au revenu déterminant (art. 5 let. a LPCC).</w:t>
      </w:r>
    </w:p>
    <w:p>
      <w:r>
        <w:rPr>
          <w:b/>
        </w:rPr>
        <w:t>E. 7</w:t>
      </w:r>
    </w:p>
    <w:p>
      <w:r>
        <w:t>Selon l’art. 25 al. 1er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w:t>
      </w:r>
    </w:p>
    <w:p>
      <w:r>
        <w:t>A/1520/2015 - 11/17 -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l’art. 25 al. 2 OPC- AVS/AI,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L'art. 25 OPC-AVS/AI permet ainsi d'adapter une décision de prestations complémentaires à des modifications postérieures de la situation personnelle et économique de l'ayant-droit en raison d'un changement de circonstances (ATF 119 V 189 consid. 2c). L'adaptation des prestations complémentaires à la modification des circonstances personnelles ou économiques peut conduire à une obligation de l’assuré de restituer des prestations perçues à tort. L'art. 25 al. 2 let. c et d OPC-</w:t>
      </w:r>
    </w:p>
    <w:p>
      <w:r>
        <w:t>A/1520/2015 - 12/17 - AVS/AI réserve expressément la créance en restitution lorsque l'obligation de renseigner a été violée. La restitution est réglée par l'art. 25 LPGA (ATF 138 V 298 consid. 5.2.1). Ainsi,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w:t>
      </w:r>
    </w:p>
    <w:p>
      <w:r>
        <w:rPr>
          <w:b/>
        </w:rPr>
        <w:t>E. 8</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des assurances C 175/0 du 29 novembre 2005 consid. 2.2). Partant, un fait nouveau permettant la révision procédurale d'une décision entrée en force doit exister au moment où cette décision a été rendue, mais est découvert après coup. En vertu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w:t>
      </w:r>
    </w:p>
    <w:p>
      <w:r>
        <w:rPr>
          <w:b/>
        </w:rPr>
        <w:t>E. 9</w:t>
      </w:r>
    </w:p>
    <w:p>
      <w:r>
        <w:t>Il convient en premier lieu de se pencher sur les griefs d’ordre formel soulevés par le recourant. 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arrêt du Tribunal fédéral 8C_954/2008 du 29 mai 2009 consid. 3.1). Le destinataire de la décision et toute personne intéressée doit pouvoir la comprendre et l'attaquer utilement en connaissance de cause s'il y a lieu, et l'instance de recours doit pouvoir exercer</w:t>
      </w:r>
    </w:p>
    <w:p>
      <w:r>
        <w:t>A/1520/2015 - 13/17 -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 En l’espèce, force est de constater que les décisions de l’intimé ne satisfont nullement à ces exigences procédurales. La décision du 14 octobre 2014 évoque le fait que la fille aînée du recourant a atteint 25 ans, si bien qu’on est fondé à penser que c’est cet élément qui justifie la nouvelle décision. Quant à la deuxième décision litigieuse du 18 novembre 2014, elle ne contient strictement aucune motivation. C’est dans ses décisions du 7 avril 2015 que l’intimé a pour la première fois indiqué les éléments fondant ses décisions de restitution. Il en ressort que l’âge de B______ a déjà été pris en compte dans les précédents calculs de l’intimé, de sorte que le semblant de motivation de la décision du 14 octobre 2014 est erroné et prête à confusion. La violation du droit d’être entendu du recourant a certes été réparée, à tout le moins en partie, par les explications fournies par l’intimé dans ses décisions sur opposition. Il n’est toutefois pas acceptable que l’intimé multiplie les décisions de restitution, portant partiellement sur les mêmes périodes, sans indiquer les titres de révocation sur lesquels il se fonde. En outre, la pleine cognition de la chambre de céans, qui permet à certaines conditions de réparer la violation du droit d’être entendu par l’instance inférieure, ne dispense pas l’intimé de se conformer aux obligations qui découlent des garanties constitutionnelles rappelées ci-dessus. Enfin, l’intimé n’a donné aucune explication sur le fait qu’il a affirmé ne pas avoir reçu l’opposition du 12 novembre 2014. Il a allégué que ce document ne figure pas au dossier – dont il n’a produit qu’un extrait dans le cadre de la présente procédure – alors qu’il est démontré qu’il a bien reçu cette écriture, puisqu’il y a apposé son timbre humide. La chambre de céans ne peut ainsi qu’exhorter l’intimé à faire preuve de diligence dans la tenue des dossiers.</w:t>
      </w:r>
    </w:p>
    <w:p>
      <w:r>
        <w:rPr>
          <w:b/>
        </w:rPr>
        <w:t>E. 10</w:t>
      </w:r>
    </w:p>
    <w:p>
      <w:r>
        <w:t>Il reste à examiner les décisions sur le fond. a) En ce qui concerne la décision du 14 octobre 2014, elle se fonde sur l’augmentation des rentes complémentaires destinées aux enfants du recourant. La chambre de céans ne dispose pas des pièces permettant de s’assurer de l’exactitude de tous les montants retenus par l’intimé. Cependant, ce dernier a indiqué que les rentes complémentaires des enfants du recourant avaient augmenté de CHF 69.- chacune, soit CHF 138.- en tout par mois. Le recourant ne conteste pas la justesse de ces chiffres. Dans la décision du 14 octobre 2014, le montant retenu</w:t>
      </w:r>
    </w:p>
    <w:p>
      <w:r>
        <w:t>A/1520/2015 - 14/17 - aux titres des rentes dès le 1er février 2014 est de CHF 20'364.-, alors qu’il était de CHF 18'708.- dans la décision du 22 août 2014. Cette différence de CHF 1'656.- par année correspond à CHF 138.- par mois. Le calcul auquel a procédé l’intimé apparaît donc correct. Quant au fait que cette décision recalcule le droit aux prestations dès le 1er janvier 2014, elle ne prête pas flanc à la critique puisque selon les dispositions réglementaires, une décision adaptant les prestations à la modification d’une rente déploie ses effets dès la date de cette modification. L’augmentation des rentes des enfants du recourant n’a d’ailleurs été prise en compte que dès le 1er février 2014. Cette décision doit être confirmée, et il appartiendra à l’intimé de statuer sur la demande de remise du recourant. b) S’agissant de la décision du 18 novembre 2014, confirmée le 7 avril 2015, elle a été rendue pour prendre en compte des gains du recourant et son épouse dans les décisions de restitution. Sur ce point, la chambre de céans note que celui-ci a toujours annoncé à l’intimé les revenus qu’il réalisait, de sorte qu’on ne peut lui reprocher d’avoir violé son obligation de renseigner. L’intimé ne l’allègue d’ailleurs pas. Partant, conformément aux dispositions réglementaires, à la pratique administrative et à la jurisprudence développées plus haut, la décision adaptant les prestations en tenant compte de ces revenus ne peut pas déployer d’effet rétroactif, et le nouveau calcul ne s’applique qu’aux prestations complémentaires dues à partir du mois suivant celui où la décision a été rendue. En particulier, il n’existe pas de motif de reconsidération ou de révision procédurale en l’espèce. En effet, l’intimé n’invoque pas le caractère erroné de sa décision initiale d’octroi de prestations. On peut donc admettre au degré de la vraisemblance prépondérante applicable en assurances sociales (ATF 120 V 204 consid. 6b) qu’il a calculé le montant des prestations faisant l’objet de cette décision en fonction des revenus déterminants du recourant et des personnes incluses dans le calcul des prestations au moment où elle a été rendue, conformément à la législation. Par ailleurs, la réalisation des gains litigieux étant postérieure à la décision révoquée par la suite, il ne s’agit par définition pas là d’un élément de fait existant lorsqu’elle a été rendue. Partant, un motif de révision procédurale doit également être exclu. Par surabondance, la chambre de céans rappelle que la prestation complémentaire est une prestation annuelle, et que la force de chose décidée de la décision portant sur une telle prestation est limitée, d'un point de vue temporel, à l'année civile à laquelle elle se rapporte (arrêt du Tribunal fédéral des assurances P 29/04 du 9 novembre 2004 consid. 4.3). Son adaptation est prévue lorsque les modifications dans les revenus ou les dépenses sont appelés à augmenter ou à diminuer pour une période prolongée, comme cela ressort de l’art. 25 al. 1 let. c OPC-AVS/AI. En l’espèce, le recourant et son épouse n’ont pas trouvé d’engagement durable, et les gains en cause ont été réalisés dans le cadre d’activités ponctuelles ou sur appel. A l’inverse d’assurés au bénéfice de contrats de travail à un taux d’activité clairement stipulé et conclus pour une durée indéterminée, il n’existait aucune garantie que le</w:t>
      </w:r>
    </w:p>
    <w:p>
      <w:r>
        <w:t>A/1520/2015 - 15/17 - recourant et son épouse continueraient à réaliser les gains ayant conduit à l’adaptation des prestations jusqu’à la fin de l’année, selon le critère défini par la doctrine précitée. Les revenus litigieux n’ont d’ailleurs été réalisés que durant quelques mois chaque fois. Dans ces conditions, l’adaptation des prestations à laquelle a procédé l’intimé n’est pas conforme à l’art. 25 al. 1 let. c OPC-AVS/AI, puisqu’elle ne tient pas compte du caractère temporaire de l’augmentation des revenus. Eu égard à ce qui précède, la décision du 7 avril 2015 confirmant la décision du 18 novembre 2014 n’est pas conforme au droit et doit être annulée.</w:t>
      </w:r>
    </w:p>
    <w:p>
      <w:r>
        <w:rPr>
          <w:b/>
        </w:rPr>
        <w:t>E. 11</w:t>
      </w:r>
    </w:p>
    <w:p>
      <w:r>
        <w:t>Au vu des circonstances, il convient encore d’examiner les autres griefs soulevés par le recourant. Il indique ne pas comprendre pourquoi la décision du 14 octobre 2014, tenant compte de la fin du droit de B______, conduit à une diminution de prestations. Toutefois, comme on l’a vu, ce n’est pas sur cet événement que se fonde l’intimé mais sur l’augmentation des rentes complémentaires de ses deux plus jeunes enfants. Or, il est conforme au système des prestations complémentaires – dont le but est d’assurer aux personnes les plus mal loties socialement un revenu minimum (Message du Conseil fédéral relatif à un projet de loi sur les prestations complémentaires à l'assurance-vieillesse, survivants et invalidité du 21 septembre 1964, FF 1964 II 706) – qu’une augmentation des rentrées financières du bénéficiaire conduise à la diminution des prestations nécessaires à compléter ses revenus pour atteindre ce minimum. Quant à l’obligation des bénéficiaires d’avertir l’intimé de la modification des rentes qu’ils perçoivent, elle se fonde sur l’art. 31 al. 1 LPGA, qui prévoit que l’ayant droit, ses proches ou les tiers auxquels une prestation est versée sont tenus de communiquer à l'assureur ou, selon le cas, à l'organe compétent toute modification importante des circonstances déterminantes pour l'octroi d'une prestation. Il ne s’agit du reste pas d’une démarche particulièrement contraignante pour les bénéficiaires, et il ne serait pas exigible de l’intimé qu’il requière systématiquement des informations des caisses de compensation ou des offices d’assurance-invalidité – voire d’autres assurances – lors de chaque mise à jour. S’agissant des calculs des gains annualisés faisant l’objet de la décision du 18 novembre 2014, au vu de l’issue du litige, il n’est pas indispensable de les examiner en détail. On soulignera néanmoins que la prestation complémentaire est en principe calculée sur une année, et qu’il y a donc effectivement lieu d’annualiser les montants déterminants (arrêt du Tribunal fédéral des assurances P 50/04 du 29 mars 2005 consid. 4.4). Enfin, s’agissant des gains réalisés, les modalités de leur prise en compte sont détaillées à l’art. 11 al. 1er let. a LPC exposé plus haut. La détermination de ces revenus repose donc sur des opérations arithmétiques très simples et ne nécessite pas le concours d’un expert- comptable.</w:t>
      </w:r>
    </w:p>
    <w:p>
      <w:r>
        <w:rPr>
          <w:b/>
        </w:rPr>
        <w:t>E. 12</w:t>
      </w:r>
    </w:p>
    <w:p>
      <w:r>
        <w:t>Eu égard à ce qui précède, le recours est partiellement admis.</w:t>
      </w:r>
    </w:p>
    <w:p>
      <w:r>
        <w:t>A/1520/2015 - 16/17 - Le recourant, qui n’est pas représenté, n’a pas droit à des dépens (art. 61 let. g LPGA). Pour le surplus, la procédure est gratuite (art. 61 let. a LPGA).</w:t>
      </w:r>
    </w:p>
    <w:p>
      <w:r>
        <w:t>A/1520/2015 - 17/17 -</w:t>
      </w:r>
    </w:p>
    <w:p>
      <w:r>
        <w:t>PAR CES MOTIFS, LA CHAMBRE DES ASSURANCES SOCIALES : Statuant A la forme : 1. Déclare le recours recevable. Au fond : 2. L’admet partiellement au sens des considérants. 3. Annule la décision sur opposition de l’intimé du 7 avril 2015 confirmant la décision du 18 novembre 2014. 4. Confirme la décision de l’intimé du 7 avril 2015 écartant l’opposition à la décision du 14 octobre 2014.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