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ATAS/665/2013 vom 25. Juni 2013</w:t>
      </w:r>
    </w:p>
    <w:p>
      <w:r>
        <w:t>GE Cour de justice, 2013-06-25, FR</w:t>
      </w:r>
    </w:p>
    <w:p>
      <w:r>
        <w:rPr>
          <w:b/>
        </w:rPr>
        <w:t xml:space="preserve">Quelle: </w:t>
      </w:r>
      <w:r>
        <w:t>https://mcp.opencaselaw.ch/entscheid/ge_gerichte_ATAS_665_2013</w:t>
      </w:r>
    </w:p>
    <w:p>
      <w:r>
        <w:t>FR: GE_GERICHTE ATAS/665/2013 du 25 juin 2013</w:t>
      </w:r>
    </w:p>
    <w:p>
      <w:r>
        <w:t>IT: GE_GERICHTE ATAS/665/2013 del 25 giugno 2013</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À teneur de l’art. 1er al. 1er LAA, les dispositions de la LPGA s’appliquent à l’assurance-accidents à moins que la LAA n’y déroge expressément.</w:t>
      </w:r>
    </w:p>
    <w:p>
      <w:r>
        <w:rPr>
          <w:b/>
        </w:rPr>
        <w:t>E. 3</w:t>
      </w:r>
    </w:p>
    <w:p>
      <w:r>
        <w:t>Interjeté dans les forme et délai prévus par la loi (art. 38 et 56 ss LPGA), les recours des 22 avril et 29 avril 2010 sont recevables.</w:t>
      </w:r>
    </w:p>
    <w:p>
      <w:r>
        <w:rPr>
          <w:b/>
        </w:rPr>
        <w:t>E. 4</w:t>
      </w:r>
    </w:p>
    <w:p>
      <w:r>
        <w:t>Le litige porte sur le droit de l'assurée aux prestations de l’assurance-accidents et, singulièrement, sur la question de savoir si tout ou partie des troubles diagnostiqués doivent ou non être qualifiés de maladie professionnelle.</w:t>
      </w:r>
    </w:p>
    <w:p>
      <w:r>
        <w:rPr>
          <w:b/>
        </w:rPr>
        <w:t>E. 5</w:t>
      </w:r>
    </w:p>
    <w:p>
      <w:r>
        <w:t>a) L’art. 6 al. 1er LAA dispose que les prestations d’assurance sont allouées en cas d’accident professionnel, d’accident non professionnel et de maladie professionnelle. Aux termes de l’art. 9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(al. 1er).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w:t>
      </w:r>
    </w:p>
    <w:p>
      <w:r>
        <w:t>A/1612/2010 - 31/43 - réputée déclarée dès que la personne atteinte doit se soumettre pour la première fois à un traitement médical ou est incapable de travailler (al. 3). Selon l'annexe 1 (ch. 1 a) à l'ordonnance sur l'assurance-accident du 20 décembre 1982 (OLAA; RS 832.202) édictée en application de l'art. 9 al. 1 LAA, la paralysie nerveuse par pression est une maladie professionnelle. Le Tribunal fédéral a confirmé que le syndrome du tunnel carpien est une telle affection (arrêts non publiés du 2 février 1996, U 203/93 et du 2 juillet 1997; U 176/96). b) La clause générale de l'article 9 al. 2 LAA répond au besoin de combler d'éventuelles lacunes qui subsisteraient dans la liste que le Conseil fédéral est chargé d'établir en vertu de l'art. 9 al. 1 LAA (ATF 116 V 141 consid. 5a et les références). La condition d’un lien exclusif ou nettement prépondérant n’est réalisée que si la maladie a été causée à 75 % au moins par l’exercice de l’activité professionnelle (ATF 119 V 200 consid. 2b et la référence). L'affection doit être au minimum 4 fois plus fréquente dans le métier exercé par l'assurée que dans la population générale pour que l'on puisse considérer que la maladie a été causée de manière nettement prépondérante par l'exercice de l'activité professionnelle (ATF 126 V 186 consid. 2b, 119 V 201 consid. 2b et la référence). Si les données statistiques font défaut, il faut utiliser les données cliniques (cf. arrêt du 22 septembre 2000 dans la cause U 235/99).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l'article 9, al. 2 LAA (cf. ATF 126 V 183). Ainsi que l’a relevé MAURER (Schweizerisches Unfallversicherungsrecht, p. 222),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 b). c) A plusieurs reprises,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(notamment ATF 126 V 183 ; RAMA 2000 N° U 408, p. 407). Dans ces affaires, la Haute Cour a rappelé que, en médecine générale, la relation de cause à effet ne peut que rarement être tirée ou déduite à la manière d’une science mathématique. Compte tenu du caractère empirique de la médecine, lorsqu’une preuve directe ne peut être rapportée à propos d’un état de fait médical, il est bien plutôt nécessaire de</w:t>
      </w:r>
    </w:p>
    <w:p>
      <w:r>
        <w:t>A/1612/2010 - 32/43 - procéder à des comparaisons avec d’autres cas d’atteintes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La preuve de la causalité qualifiée peut être apportée par des données épidémiologiques (FRESARD/MOSER-SZELLES, L'assurance-accidents obligatoire, in : Schweizerisches Bundesverwaltungsrecht [SBVR], 2ème éd., no 113 ss). Ainsi, si la preuve d’une relation de causalité qualifiée selon l’expérience médicale ne peut pas être apportée de manière générale, l’admission de celle-ci dans le cas particulier est exclue. En revanche, si les connaissances médicales générales actuelles et largement partagées par la communauté des spécialistes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189, consid. 4c et les références). Le Tribunal fédéral a admis l'existence d'une maladie professionnelle sur la base d'une expertise judiciaire détaillée, qui indique notamment que, d'après l'enquête sur les symptômes et les diagnostics menée auprès des collaborateurs de l'unité en question, la prévalence des diagnostics d'épicondylite radiale, de tendinite du poignet ou de l'avant-bras ainsi que du tunnel carpien était d'au minimum quatre fois plus importante dans le groupe de monteurs présents dès la mise en service de l'unité que dans une population active également exposée au risque. A cet égard, l'experte judiciaire s'était aussi référée à l'étude de prévalence des troubles musculo- squelettiques du membre supérieur dans la population active en France faite par Roquelaure. Si l'on prenait uniquement en considération l'épicondylite, la prévalence était dix fois supérieure à celle observée dans la population générale. Sur la question d'un lien de causalité entre une surcharge professionnelle du système main-bras et une épicondylite radiale, d'autres études récentes basées sur des expérimentations avec des animaux venaient également confirmer que la performance de tâches répétitives et/ou demandant de la force causait des microtraumatismes et que ces blessures conduisaient à une inflammation locale suivie de changements fibreux et structurels des tissus. (Arrêt du 10 novembre 2009; 8C_410/2009;T 0/2).</w:t>
      </w:r>
    </w:p>
    <w:p>
      <w:r>
        <w:t>A/1612/2010 - 33/43 -</w:t>
      </w:r>
    </w:p>
    <w:p>
      <w:r>
        <w:rPr>
          <w:b/>
        </w:rPr>
        <w:t>E. 6</w:t>
      </w:r>
    </w:p>
    <w:p>
      <w:r>
        <w:t>En l'espèce, la recourante soutient que les TMS dont elle souffre sont des maladies professionnelles, en se fondant sur l'expertise du Dr T_________, le rapport d'ERGORAMA et l'expertise judiciaire, alors que l'intimée le conteste, en se fondant essentiellement sur les appréciations médicales des Dr W_________ et A_________. Malgré le renvoi du dossier fin 2007, l'instruction menée par l'intimée n'a pas porté en détail sur l'entreprise, ni sur l'anamnèse et le tableau clinique de l'ensemble des assurées, qui n'ont d'ailleurs pas été soumises à un examen clinique, de sorte que la Cour de céans a ordonné une expertise de médecine du travail confiée à la Dresse FA__________, médecin répondant de l'Institut de santé au travail, qui s'est adjoint le concours d'un médecin et d'un ergonome. Le rapport d'expertise du 27 mars 2012 se fonde sur l'ensemble du dossier juridique, médical et ergonomique transmis par la Cour, ainsi que sur un examen clinique de l'assurée, une anamnèse personnelle, professionnelle, sociale et familiale, un rapport d'évaluation ergonomique, un rapport de visite de l'entreprise et des études de prévalence des troubles concernés dans ce domaine professionnel.</w:t>
      </w:r>
    </w:p>
    <w:p>
      <w:r>
        <w:rPr>
          <w:b/>
        </w:rPr>
        <w:t>E. 7</w:t>
      </w:r>
    </w:p>
    <w:p>
      <w:r>
        <w:t>Les éléments discutés dans le rapport d'expertise peuvent être résumés ainsi:</w:t>
      </w:r>
    </w:p>
    <w:p>
      <w:r>
        <w:rPr>
          <w:b/>
        </w:rPr>
        <w:t>E. 7.1</w:t>
      </w:r>
    </w:p>
    <w:p>
      <w:r>
        <w:t>Sur le plan diagnostique, l'experte confirme les diagnostics posés par les médecins traitants de l'assurée soit un syndrome du tunnel carpien gauche (opéré en 2007), une épicondylite bilatérale, opérée à droite en 2002, une tendinite de De Quervain (traitée conservativement) et des cervicalgies sur discopathie protrusive d'importance modérée. Le status clinique au jour de l'expertise relève un BMI de 27, mais l'anamnèse précise que ce dernier était de 22 en 1998, lors de l'apparition des douleurs et mentionne les constatations objectives faites sur le plan ostéo articulaire au niveau des douleurs et de la mobilité. Il ressort de l'anamnèse que l'assurée, droitière, a commencé à ressentir vers 1998 des douleurs localisées au niveau des épicondyles des deux coudes mais prédominant à droite, irradiant vers l'épaule et la nuque. Elle a ensuite ressenti vers 2002, des douleurs localisées sur la face radiale du poignet droit et irradiant dans le pouce ainsi qu'une fatigue de la main droite, une tendinite de De Quervain étant alors diagnostiquée. Toutes ces</w:t>
      </w:r>
    </w:p>
    <w:p>
      <w:r>
        <w:t>A/1612/2010 - 35/43 - douleurs du membre supérieur droit deviennent rapidement constantes et insomniantes. Initialement rythmées par le travail, elles deviennent constantes avec le temps. Diagnostiquée en 2001, l'épicondylite est traitée par infiltrations puis opérée en 2002 tant les douleurs deviennent invalidantes, l'assurée ne parvenant plus à tirer les peaux, ni à soulever les poids. Du côté gauche, après le coude gauche dès 1998, des douleurs, fourmillements et dysesthésies à la main gauche sont ressenties dès 2000, avec baisse de la force et rigidité des doigts, conduisent au diagnostic de TCC en 2003, opéré en 2007.</w:t>
      </w:r>
    </w:p>
    <w:p>
      <w:r>
        <w:rPr>
          <w:b/>
        </w:rPr>
        <w:t>E. 7.2</w:t>
      </w:r>
    </w:p>
    <w:p>
      <w:r>
        <w:t>Sur le plan ergonomique, il ressort de l'anamnèse que l'assurée a travaillé de 1973 à 1992 à l'activité de création de pochette (atelier de maroquinerie) et de coupe des peaux, puis de 1992 à 2001 à l'activité de création des intérieurs d'écrins tout en étant affectée au changement des moules des machines (jusqu'à 15kg), à raison de 15% de son temps. A la fin de son activité, en 2001-2002, elle a travaillé au garnissage des écrins. Le détail de ces activités et la production sont précisés. Les mouvements décrits par l'assurée sont confirmés par l'analyse ergonomique faite dans l'entreprise. L'activité a lieu le plus fréquemment en position assise, en élévation des bras, épaules éloignées du tronc, coudes en abduction et épaules en abduction interne sans appui des avant-bras, la nuque en flexion, et dans le cadre de l'activité de coupe et de changements de moules, position debout, poids sur la jambe gauche en torsion du tronc et sollicitations répétées des bras (épaules, coudes et mains) en abduction et élévation du bras droit pour la poignée. Elle implique, dans le cadre d'un travail manuel répété et sous cadence, sans alternance et avec l'utilisation des deux mains, des positions articulaires extrêmes répétées des poignets et des doigts en alternance des deux mains, le détail des postures de chaque main étant mentionné. Pour le port des moules, le coude et l'épaule droit, ainsi que le poignet sont mobilisés dans une gestuelle (décrite) sous cadence et sans alternance. Dans le cadre d'un cycle de gainage, les gestes à risque de SCC, d'épicondylite ou de tendinite de Quervain (tirer et tendre le cuir, replier les bords du cuir, lisser et frotter le coffret, tout en maintenant fermement le coffret) impliquent des mouvements de flexion des doigts, de supination du poignet, d'extension du poignet et des doigts et d'abduction du pouce et représentent 71% du temps de travail pour le membre non dominant et 59%, pour le membre dominant, étant précisé que le solde de ce temps n'est pas consacré à de la récupération, mais implique d'autres mouvements (élévation de l'épaule, adduction du pouce, etc.). Un cycle de production (soit un coffret) dure environ 5 minutes durant lesquelles les ouvrières tirent une soixantaine de fois sur le cuir. Ainsi, la force développée couplée avec une grande répétitivité et le maintien de positions contraignantes sur de longues périodes sont un facteur de risque évident de TMS, tels que SCC, épicondylite ou tendinite de Quervain. La comparaison des activités confiées aux femmes et aux hommes révèlent une large gamme de mouvements, des gestes amples du corps dans son entier et de lourdes charges pour les premiers et des</w:t>
      </w:r>
    </w:p>
    <w:p>
      <w:r>
        <w:t>A/1612/2010 - 36/43 - postures statiques, des positions statiques articulaires contraignantes, des mouvements des membres supérieurs en force et une importante répétitivité.</w:t>
      </w:r>
    </w:p>
    <w:p>
      <w:r>
        <w:rPr>
          <w:b/>
        </w:rPr>
        <w:t>E. 7.3</w:t>
      </w:r>
    </w:p>
    <w:p>
      <w:r>
        <w:t>Sur le plan de la prévalence des symptômes et des diagnostics, il ressort de l'enquête menée par l'experte auprès des ouvriers de l'entreprise que 75% des travailleurs actuels souffrent de TMS au niveau des membres supérieurs. Sur 36 personnes, 17 prennent des antalgiques et 4 ont été opérées. Comparée aux données de Roquelaure (population de travailleurs) et aux données de Shiri (population générale), la prévalence des symptômes et des diagnostics est au minimum 4 fois plus grande dans l'entreprise [pour le SCC-douleurs poignet/main, symptômes: 21, diagnostics 9 (Roquelaure) et 5 (Shiri); pour l'épicondylite-douleurs coude/avant- bras: symptômes 7, diagnostics 10 (Roquelaure), 12 (Shiri)]. La prévalence des diagnostics doit être considérée avec prudence, les diagnostics mentionnés par les travailleurs n'ayant pas été vérifiés par l'expert, mais les symptômes rapportés sont fiables. Au surplus, l'enquête montre que le nombre de douleurs TMS augmente significativement avec l'ancienneté, ce qui n'est pas le cas de l'âge.</w:t>
      </w:r>
    </w:p>
    <w:p>
      <w:r>
        <w:rPr>
          <w:b/>
        </w:rPr>
        <w:t>E. 7.4</w:t>
      </w:r>
    </w:p>
    <w:p>
      <w:r>
        <w:t>S'agissant des facteurs de risques, dans le cas de l'assurée, tous les facteurs de risques professionnels reconnus par la littérature récente en particulier en cas d'épicondylite bilatérale sont présents, soit port de charge-force, répétitivité des mouvements de bras, postures articulaires forcées des mains et des poignets (extension), bras levés éloignés du tronc, précision des gestes et combinaison de force, posture et répétitivité, durant 29 ans, en particulier pour la confection des écrins de 1992 à 2001, alors que parmi les facteurs individuels ou prédisposant, seuls le sexe féminin, la race blanche, un tabagisme modéré, et la main dominante, avec la précision que l'autre membre est aussi atteint, sont retenus, l'experte excluant en particulier l'obésité, le diabète, l'âge, la dépression et toutes les activités (sport, jardinage, etc.). S'agissant du SCC, presque tous les facteurs de risques professionnels sont présents, soit la force de préhension importante, les mouvements de précision avec la main droite notamment, les mouvements répétitifs des deux mains durant plus de 20 ans, la cadence élevée et les postures articulaires extrêmes du poignet. Il en va de même de la tendinite de De Quervain, s'agissant des mouvements répétitifs avec postures articulaires extrêmes pour le poignet et les pouces, les postures extrêmes répétées et soutenues et la cadence élevée. Pour les cervicalgies, l'experte cite l'étude de Palmer (2007) qui confirme la relation de causalité entre les symptômes cervicaux et l'exposition aux facteurs de risques, tels que travail en position statique avec membres supérieurs en perpétuel mouvement et sans appui des avant-bras, la nuque en position fléchie, subi des contraintes ostéoarticulaires prolongées.</w:t>
      </w:r>
    </w:p>
    <w:p>
      <w:r>
        <w:rPr>
          <w:b/>
        </w:rPr>
        <w:t>E. 7.5</w:t>
      </w:r>
    </w:p>
    <w:p>
      <w:r>
        <w:t>En conclusion, l'experte retient que, compte tenu de l'activité manuelle exercée à 100% durant 29 ans, de l'exposition à des risques spécifiques cumulés, du poids négligeable des facteurs prédisposant individuels et extra-professionnels, le lien de causalité entre le SCC et l'activité professionnelle est prépondérant et le lien de</w:t>
      </w:r>
    </w:p>
    <w:p>
      <w:r>
        <w:t>A/1612/2010 - 37/43 - causalité entre l'épicondylite, la tendinite de Quervain et les cervicalgies et l'activité professionnelle est nettement prépondérant. L'experte précise que pour les cervicalgies, les facteurs individuels et extra-professionnels pour la survenue d'une arthrose cervicale sont négligeables, soit un âge de moins de 50 ans, pas d'ostéoporose, pas de sport, ni acromégalie.</w:t>
      </w:r>
    </w:p>
    <w:p>
      <w:r>
        <w:rPr>
          <w:b/>
        </w:rPr>
        <w:t>E. 7.6</w:t>
      </w:r>
    </w:p>
    <w:p>
      <w:r>
        <w:t>S'agissant de l'avis du Dr A_________, l'experte s'en écarte pour les motifs suivants: l'âge de 47 ans (en fait 46 ans) n'est pas typique de l'épicondylite latérale, selon la littérature actuelle (5-6ème décade). L'épicondylite est la conséquence de mouvements répétitifs de l'avant-bras avec le poignet dévié et des contraintes biomécaniques détaillées, soit des facteurs de risque professionnel, plutôt que le vieillissement "naturel dégénératif", de sorte que le facteur de l'âge n'est pas prépondérant. Il est ainsi faux d'imputer la survenance de ce trouble à l'âge et de prétendre que l'activité professionnelle est un déclencheur. L'activité exercée pendant 29 ans, avec une exposition prolongée, répétée et cumulée à des facteurs de risque majeurs scientifiquement reconnus est bien la cause de l'épicondylite, ce qui est actuellement admis. Il en va de même selon la littérature pour le SCC et la tendinite de De Quervain, que le Dr A_________ n'aborde pas. De façon générale, et contrairement à ce que soutient le Dr A_________, la durée d'exposition (29 ans) à des contraintes biomécaniques répétées et cumulées pour les membres supérieurs est un facteur majeur avéré et reconnu scientifiquement de survenue de TMS. Il est incorrect de prétendre que l'activité de l'assurée était variée et alternait les sollicitations, chacun des postes occupés présentant d'importantes sollicitations et, surtout, dès 1993, les sollicitations ont été majeures en raison du cumul de la gestuelle répétitive de la fabrication des écrins et le port de poids répétés avec les contraintes décrites. Pour ce qui est des cervicalgies, le Dr A_________ fait fi des facteurs de risque professionnel (flexion de la nuque répétée et prolongée, tensions prolongées et répétées sur les cervicales du fait des répétés des bras et des épaules soumis à port de charge et à postures articulaires extrêmes, sans appui). Ainsi, compte tenu de la durée d'exposition, il n'est pas étonnant de trouver en 1999 une inversion de la courbure physiologique des cervicales et de constater, compte tenu du côté droit dominant chez l'expertisée, des discopathies cervicales latéralisées à droite en C5-C6. Finalement, la critique du Dr A_________ contre l'analyse d'ERGORAMA, qui n'examine pas les aspects concrets et individuels, est infondée, car le rôle d'une analyse biométrique est de définir les facteurs de risque de l'activité en question susceptibles de causer un TMS. De plus, les divers facteurs de risque sont toujours combinés à des niveaux d'intensité et de fréquence propre à chaque tâche et variables dans le temps, ce qui explique que la localisation des TMS peut varier d'un individu à l'autre. Par contre, si le Dr A_________ souligne à juste titre la nécessité d'une appréciation en tenant compte des cas individuels du point de vue concret, il est à déplorer qu'il n'ait jamais ausculté et rencontré l'expertisée, ce qui</w:t>
      </w:r>
    </w:p>
    <w:p>
      <w:r>
        <w:t>A/1612/2010 - 38/43 - est le seul moyen de comprendre le travail réellement effectué et de ne pas surestimer l'importance des facteurs prédisposant individuels.</w:t>
      </w:r>
    </w:p>
    <w:p>
      <w:r>
        <w:rPr>
          <w:b/>
        </w:rPr>
        <w:t>E. 7.7</w:t>
      </w:r>
    </w:p>
    <w:p>
      <w:r>
        <w:t>Pour l'ensemble des assurées, l'experte conclut que le risque de contracter des TMS dans cette population d'ouvrières affectées à un travail dans la gainerie- maroquinerie et exposées à des risques professionnels avérés et reconnus est au moins 2 fois, respectivement 4 fois plus élevé que celui observé dans un groupe comparable non exposé, ce d'autant que les facteurs prédisposant individuels et extra professionnels sont absents ou négligeables. Le taux de prévalence reste extrêmement élevé en 2011, alors que les conditions de travail sont meilleures par rapport aux années 2000 et précédentes, de sorte qu'il n'y a pas de raison de penser que la prévalence des TMS ait été alors inférieure. L'hétérogénéité des diagnostics posés chez l'ensemble des assurées concernées n'est pas étonnant. D'une part, chaque individu a sa gestuelle et met en œuvre une stratégie d'adaptation différente. D'autre part, tous les TMS sont localisés aux membres supérieurs, mais les assurées n'ont pas toujours exercé la même activité, ce qui explique les diverses localisations.</w:t>
      </w:r>
    </w:p>
    <w:p>
      <w:r>
        <w:rPr>
          <w:b/>
        </w:rPr>
        <w:t>E. 7.8</w:t>
      </w:r>
    </w:p>
    <w:p>
      <w:r>
        <w:t>En guise de remarques et propositions finales, l'experte relève que l'assurée a participé à la visite de l'entreprise et qu'il s'avère que, mis à part la réduction du personnel (50 au lieu de 200 dans les années 2000) et l'automatisation de certains procédés depuis 2005, le travail de gainerie est similaire dans sa gestuelle mais, selon les ouvrières en poste les plus anciennes, le rythme de travail est moins soutenu. L'experte relève par ailleurs dans la partie consacrée à l'ensemble des assurées que, dans les années 2000, seules des femmes occupaient les postes de gainerie, alors que des hommes y sont désormais affectés. Or, sur 8 hommes présents, 4 présentaient des douleurs au coude/main/poignet, soit 50% de l'effectif masculin. Sur 36 employés, les 9 personnes qui ne présentaient pas de symptômes étaient 6 apprentis ou stagiaires, en moyenne âgés de 29 ans et en poste depuis 19 mois et 3 hommes en moyenne âgés de 46 ans et en poste depuis 7 ans, affectés au collage et à la découpe. Le 75% des travailleurs symptomatiques avaient en moyenne 46 ans et 16 ans d'ancienneté, de sorte que le facteur ancienneté est statistiquement significatif, au contraire de l'âge et du sexe féminin. Dans le cas des assurées, quelques facteurs de risque psychosociaux liés au travail ont été relevés, tels que le manque d'autonomie, l'intensification de la charge de travail et le manque de reconnaissance du travail effectué, contrebalancé par le plaisir du travail, mais les facteurs de risque professionnels liés à l'activité de gainerie sont importants et la cause prépondérante et nettement prépondérante des TMS.</w:t>
      </w:r>
    </w:p>
    <w:p>
      <w:r>
        <w:rPr>
          <w:b/>
        </w:rPr>
        <w:t>E. 8</w:t>
      </w:r>
    </w:p>
    <w:p>
      <w:r>
        <w:t>La Cour considère ainsi que l'expertise judiciaire doit se voir reconnaitre pleine valeur probante. Le rapport se fonde sur l'examen médical de l'assurée et une anamnèse précise, il est établi en pleine connaissance de l'ensemble du dossier, les</w:t>
      </w:r>
    </w:p>
    <w:p>
      <w:r>
        <w:t>A/1612/2010 - 39/43 - questions litigieuses importantes ont fait l'objet d'une étude fouillée, du point de vue ergonomique et de celui de la prévalence. Enfin, les conclusions de l'experte sont bien motivées, claires et étayées par la littérature scientifique la plus récente. L'intimée met en cause la valeur probante de l'expertise sur plusieurs points, en se fondant sur les avis du Dr W_________, en particulier celui du 24 mai 2012, qui reprend pour partie l'appréciation du Dr A_________.</w:t>
      </w:r>
    </w:p>
    <w:p>
      <w:r>
        <w:rPr>
          <w:b/>
        </w:rPr>
        <w:t>E. 8.1</w:t>
      </w:r>
    </w:p>
    <w:p>
      <w:r>
        <w:t>Il faut d'abord relever que l'analyse ergonomique de l'expertise, détaillée et illustrée par des photographies des ouvrières en poste et un film des mouvements et gestuelles des assurées, n'est pas remise en cause. Il s'avère d'ailleurs que les constatations faites rejoignent celles de l'institut ERGORAMA et que la comparaison des gestes montrés par les assurées avec ceux examinés sur place lors de l'expertise démontre que l'activité est restée semblable, voire même que les conditions de travail en 2011 sont meilleures que dans les années 2000 et antérieures. Ainsi, la description faite de l'activité par le Dr P_________ en 2003 minimise très largement la répétitivité, la force utilisée et les postures contraignantes. De même, la variation des activités, l'alternance des postes de travail et la répartition des activités selon les diverses étapes de fabrication entre les ouvrières alléguées par le Dr P_________ sont clairement contredites par l'anamnèse, les constatations faite par l'experte et par ERGORAMA et par les affirmations de M. V__________. Bien que l'assurée ait été affectée à trois types d'activité, elle n'a pas connu une alternance des tâches qui limiterait la répétitivité ou l'intensité de l'exposition. Bien au contraire, l'analyse détaillée faite par l'experte des diverses activités confirme le cumul des contraintes. Il est ainsi établi, et non contesté par l'intimée, que l'assurée a été soumise durant 29 ans, de 1973 à 2002, à une activité combinant le port de charges, une force de préhension importante, des mouvements précis et répétitifs, une cadence élevée et des postures extrêmes prolongées et répétées du poignet et des mains, ainsi que des positions bras tendus et surélevés, éloignés du tronc, et une combinaison de force, posture et répétitivité c’est-à-dire l'ensemble des facteurs de risques professionnels reconnus pour le SCC, l'épicondylite et la tendinite de De Quervain, ainsi qu'à une position statique assise, avec les membres en perpétuel mouvement, sans appui, la nuque en position fléchie prolongée, avec port de charge, soit les facteurs de risque pour les cervicalgies. Dans le même sens, les constatations objectives ressortant de l'examen médical, ainsi que l'anamnèse médicale, personnelle et professionnelle établies par l'expertise ne sauraient être remises en cause sur la base des appréciations médicales "sur dossier" du Dr A_________, qui n'a jamais rencontré les assurées. On relèvera encore que les critiques de la SUVA quant aux graves lacunes de l'expertise qui ne tiendrait pas compte des pièces importantes tombe à faux, le seul document manquant étant celui que la SUVA a omis de produire et l'experte ayant expressément mentionné dans les pièces examinées pour le cas de Madame L__________, le rapport du Dr IA__________, qu'on lui reproche à tort d'ignorer.</w:t>
      </w:r>
    </w:p>
    <w:p>
      <w:r>
        <w:t>A/1612/2010 - 40/43 -</w:t>
      </w:r>
    </w:p>
    <w:p>
      <w:r>
        <w:rPr>
          <w:b/>
        </w:rPr>
        <w:t>E. 8.2</w:t>
      </w:r>
    </w:p>
    <w:p>
      <w:r>
        <w:t>La SUVA fait grief en premier lieu à l'expertise de ne pas expliquer le processus pathophysiologique par lequel le cumul d'effets mécaniques engendrerait un SCC. Or, l'experte a répondu de façon détaillée à cette question lors de son audition par la Cour, en expliquant le processus lésionnel et inflammatoire produit par l'hypersollicitation, sans qu'il soit besoin d'y revenir (cf. point 35 let. e en fait). Malgré ces éclaircissements, la SUVA persiste à contester les effets du cumul mécanique arguant du fait que le tableau pathophysiologique est toujours le même, y compris chez des patients souffrants de SCC sans avoir été soumis à une activité professionnelle astreignante. D'une part, l'existence de pathologies similaires sans exposition professionnelle n'enlève rien à la pertinence de l'explication quant à la relation de cause à effet entre celle-ci et la pathologie évoquée, compte tenu de l'hypersollicitation avérée sur une longue période. D'autre part, l'experte se fonde sur des études plus récentes, plus précises et emportant un consensus scientifique pour retenir que les TMS découlent d'hypersollicitations, et expose clairement pourquoi le score de Bradford Hill n'est pas déterminant, les autres études citées par le Dr W_________ étant soit anciennes, soit peu déterminantes, eu égard à la population observée ou aux critères d'examen limités. L'avis du Dr W_________ ne permet donc pas de remettre sérieusement en doute les conclusions de l'experte judiciaire. Pour ce qui est de la tendinite de De Quervain, l'intimée soutient que le processus inflammatoire retenu par l'experte est faux du point de vue médical et que celle-ci ne cite pas d'étude scientifique permettant d'affirmer qu'il ne s'agit pas d'une atteinte dégénérative. Au surplus, l'audition de l'experte ne permet pas de comprendre pourquoi une thèse devrait prévaloir sur l'autre. Interrogée à ce propos, l'experte a exposé clairement lors de l'audience que, tout comme pour le SCC, mais de façon moins marquée, ce sont les cellules inflammatoires qui conduisent à une fibrose, mais que le phénomène inflammatoire étant calmé lors de l'intervention chirurgicale, on ne voit alors plus que la fibrose. Surtout, l'experte a démontré que les études citées par le Dr W_________ étaient dépassées et contredites par des études plus récentes ressortant d'Up to date, condensé d'études inconnu du Dr W_________, et qui démontrent que la position extrême du poignet et des pouces adoptée implique la compression des tendons qui se trouvent dans la poulie au niveau de la styloïde. C'est donc à tort que la SUVA soutient que les explications données par l'experte ne seraient pas convaincantes et rien ne justifie de s'en écarter. S'agissant finalement des cervicalgies, tant le Dr A_________ que le Dr W_________ soutiennent qu'il s'agit d'un trouble fréquent dans la population en général, que l'âge de 49 ans et la localisation en C5-C6 permettent de retenir une origine dégénérative à ce trouble et l'intimée relève encore que l'experte est muette quant à la critique des conclusions qu'elle tire de l'étude de Palmer. L'experte a rappelé que la littérature retient plutôt un âge typique entre 50 et 60 ans, alors que l'assurée n'avait que 46 ans lors des premiers symptômes. Elle a expliqué de façon</w:t>
      </w:r>
    </w:p>
    <w:p>
      <w:r>
        <w:t>A/1612/2010 - 41/43 - claire la relation entre les sollicitations particulières et les constatations objectives, en particulier l'inversion de la courbure physiologique en C5-C6 constatée en 1999 déjà et les discopathies latéralisées à droite – côté dominant. Tout comme pour les autres TMS, l'experte a démontré que les facteurs non professionnels étaient négligeables. Des affirmations générales quant à une origine dégénérative ne suffisent pas à remettre en cause ces explications. L'expert se fonde non seulement sur l'étude de Palmer (2007, note 26) mais également sur le condensé d'étude dans Up to date (2012, note 27) pour retenir que les facteurs de risque déterminés dans le cas de l'assurée étaient prépondérants pour ces troubles cervicaux. Elle expose que ces études rapportent des douleurs de la nuque et des épaules en raison de la chaîne musculaire qui va de la nuque aux bras. De plus, elle explique que les cervicalgies interviennent dans une globalité de cas de TMS, alors que les facteurs non professionnels sont minimes, de sorte que, compte tenu de ces études, par extrapolation, il faut considérer qu'elles ont une cause professionnelle. Ainsi, les avis des Drs W_________ et A_________, qui font tout simplement fi de toute l'analyse spécifique des contraintes particulières au niveau cervical de l'assurée ne remettent pas sérieusement en cause l'avis de l'experte.</w:t>
      </w:r>
    </w:p>
    <w:p>
      <w:r>
        <w:rPr>
          <w:b/>
        </w:rPr>
        <w:t>E. 8.3</w:t>
      </w:r>
    </w:p>
    <w:p>
      <w:r>
        <w:t>L'intimée soutient en deuxième lieu que l'expertise ne démontre pas que le facteur de la durée de l'exposition serait prédominant sur celui de l'âge en particulier, ainsi que celui du sexe. Elle relève notamment que les données récoltées auprès des ouvriers actuels de l'entreprise ne sont pas fiables et sont tronquées. Cette première critique ne résiste pas à l'examen, car si l'expertise relativise en effet les diagnostics mentionnés par les ouvriers interrogés, elle relève que les symptômes sont clairement identifiés. Au demeurant, une analyse de l'âge et de l'ancienneté des ouvriers démontre que le facteur ancienneté est prédominant. Surtout, tant l'étude d'ERGORAMA que l'étude statistique de M. B__________ confirment de façon claire que l'ancienneté, donc la durée d'exposition au facteur de risque professionnel, est le facteur déterminant pour la survenance de TMS. Finalement, les études qui comparent des populations de cols bleus et de cols blancs démontrent aussi la prédominance de ce facteur, compte tenu du nombre élevé de TMS, à âge égal chez les premiers par rapport aux seconds. D'autres études relèvent une réduction des cas après un pic de SCC désormais fixé entre 40 et 55 ans, ce qui peut s'expliquer par un changement d'activité ou une retraite alors que l'âge ne va qu'en augmentant. S'agissant du sexe, l'experte explique que les femmes sont plus soumises à des activités professionnelles répétitives, ce qui est un facteur causal prépondérant, alors que les hommes exercent des tâches plus dynamiques. De plus, l'aspect hormonal, qui intervient vers 50 ans, rejoint la période suivant une longue durée d'exposition. Finalement, les femmes cumulent un travail répétitif et des tâches ménagères. L'analyse de la situation actuelle de l'entreprise, qui indique que les hommes, désormais aussi assignés aux tâches répétitives et astreignantes, souffrent aussi de TMS confirme la prédominance de la durée d'exposition sur le sexe. Sur ce point également, les conclusions de l'experte ne sont pas isolées mais</w:t>
      </w:r>
    </w:p>
    <w:p>
      <w:r>
        <w:t>A/1612/2010 - 42/43 - partagées par d'autres spécialistes, elles sont convaincantes et ne sont pas sérieusement remises en question par l'avis du Dr W_________.</w:t>
      </w:r>
    </w:p>
    <w:p>
      <w:r>
        <w:rPr>
          <w:b/>
        </w:rPr>
        <w:t>E. 8.4</w:t>
      </w:r>
    </w:p>
    <w:p>
      <w:r>
        <w:t>L'intimée fait valoir en troisième lieu que le temps de latence de 29 ans entre le début de l'exposition et la survenue des TMS est incohérent. D'une part, l'experte relève que la littérature admet qu'il peut être de quelques mois à quelques années, de sorte que l'étude isolée concernant des bouchers ne remet pas en cause ces conclusions. D'autre part, l'activité de l'assurée s'est modifiée et intensifiée dès 1992, les sollicitations étant alors majeures en raison du cumul de la gestuelle répétitive des écrins et du port de poids répété en cadence et en raison de l'accroissement de la production à cette période. Or, elle a ressenti les premiers symptômes des TMS en 1998 déjà, soit 6 ans après cette modification de poste et à une période d'intensification de l'activité, d'une difficulté accrue concernant la qualité des cuirs et de la cadence. Finalement, comme le facteur de la durée d'exposition est déterminant, il n'est pas étonnant que 29 ans d'exposition expliquent les TMS. Cet aspect des conclusions de l'expertise emporte aussi la conviction de la Cour.</w:t>
      </w:r>
    </w:p>
    <w:p>
      <w:r>
        <w:rPr>
          <w:b/>
        </w:rPr>
        <w:t>E. 8.5</w:t>
      </w:r>
    </w:p>
    <w:p>
      <w:r>
        <w:t>Finalement, l'intimée ne remet pas en cause l'expertise s'agissant de l'épicondylite, sous réserve des critiques susmentionnées qui ont été écartées. Il en va de même du taux de prévalence dans l'entreprise. Il n'y a dons pas de raison de s'écarter des conclusions de l'expertise judiciaire, selon laquelle il est donc établi que le lien de causalité entre l'activité professionnelle et le SCC est prépondérant et que celui entre l'activité professionnelle et l'épicondylite, la tendinite de De Quervain ainsi que les cervicalgies est nettement prépondérant. En conséquence, il s'agit de maladies professionnelles au sens de l'art. 9 al. 1 et 2 LAA.</w:t>
      </w:r>
    </w:p>
    <w:p>
      <w:r>
        <w:rPr>
          <w:b/>
        </w:rPr>
        <w:t>E. 9</w:t>
      </w:r>
    </w:p>
    <w:p>
      <w:r>
        <w:t>Le recours est donc admis, la décision sur opposition du 15 mars 2010 est annulée, car il est établi que les affections dont souffre l'assurée relèvent de la maladie professionnelle. La cause est renvoyée à l'intimée afin qu'elle statue sur l'étendue des prestations dues à l'assurée au titre de la maladie professionnelle. L'assurée, représentée par un mandataire, obtenant gain de cause, une indemnité de 4'000 fr. lui est allouée, eu égard au nombre d'écritures, à leur caractère complet et à leur pertinence, tant du point de vue de la jurisprudence que des études topiques, au nombre d'audiences et à la complexité de l'affaire.</w:t>
      </w:r>
    </w:p>
    <w:p>
      <w:r>
        <w:t>A/1612/2010 - 43/43 -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