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ATAS/665/2012 vom 15. Mai 2012</w:t>
      </w:r>
    </w:p>
    <w:p>
      <w:r>
        <w:t>GE Cour de justice, 2012-05-15, FR</w:t>
      </w:r>
    </w:p>
    <w:p>
      <w:r>
        <w:rPr>
          <w:b/>
        </w:rPr>
        <w:t xml:space="preserve">Quelle: </w:t>
      </w:r>
      <w:r>
        <w:t>https://mcp.opencaselaw.ch/entscheid/ge_gerichte_ATAS_665_2012</w:t>
      </w:r>
    </w:p>
    <w:p>
      <w:r>
        <w:t>FR: GE_GERICHTE ATAS/665/2012 du 15 mai 2012</w:t>
      </w:r>
    </w:p>
    <w:p>
      <w:r>
        <w:t>IT: GE_GERICHTE ATAS/665/2012 del 15 maggio 2012</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A/2907/2011 - 9/16 - Sa compétence pour juger du cas d’espèce est ainsi établie.</w:t>
      </w:r>
    </w:p>
    <w:p>
      <w:r>
        <w:rPr>
          <w:b/>
        </w:rPr>
        <w:t>E. 2</w:t>
      </w:r>
    </w:p>
    <w:p>
      <w:r>
        <w:t>Interjeté dans la forme et en temps utile, le recours est recevable (art. 60 LPGA).</w:t>
      </w:r>
    </w:p>
    <w:p>
      <w:r>
        <w:rPr>
          <w:b/>
        </w:rPr>
        <w:t>E. 3</w:t>
      </w:r>
    </w:p>
    <w:p>
      <w:r>
        <w:t>L'objet du litige porte sur le droit du recourant à une demi-rente d'invalidité. Le montant de l'indemnité pour atteinte à l'intégrité n'est en revanche pas litigieux et ne sera par conséquent pas examiné dans la présente procédure.</w:t>
      </w:r>
    </w:p>
    <w:p>
      <w:r>
        <w:rPr>
          <w:b/>
        </w:rPr>
        <w:t>E. 4</w:t>
      </w:r>
    </w:p>
    <w:p>
      <w:r>
        <w:t>Aux termes de l’art. 17 LPGA, si le degré d'invalidité du bénéficiaire subit une modification notable, la rente est, d'office ou sur demande, révisée pour l'avenir (augmentée, réduite ou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p. 349 ss, 113 V 273 consid. 1a p. 275, ATF 112 V 371 consid. 2b p. 372 s., 387 consid. 1b p. 390 s.). Un motif de révision au sens de l’art. 17 LPGA doit clairement ressortir du dossier ;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w:t>
      </w:r>
    </w:p>
    <w:p>
      <w:r>
        <w:rPr>
          <w:b/>
        </w:rPr>
        <w:t>E. 5</w:t>
      </w:r>
    </w:p>
    <w:p>
      <w:r>
        <w:t>En l'espèce, le recourant se prévaut d'une péjoration de son état de santé. Il fait valoir que, suite à sa deuxième opération du pouce droit, les douleurs se sont accentuées. Aussi, malgré ses efforts pour se réinsérer professionnellement et l'activité légère de couturier qu'il a exercée suite à son accident, ses limitations fonctionnelles importantes ne lui permettent pas de travailler à plus de 50% et avec un rendement oscillant entre 20 et 30%. Dans cette mesure, il se justifierait de lui accorder une demi-rente d'invalidité. Il convient dès lors de déterminer si le recourant présente effectivement une modification de son état de santé suffisamment incapacitante pour ouvrir le droit à une rente.</w:t>
      </w:r>
    </w:p>
    <w:p>
      <w:r>
        <w:rPr>
          <w:b/>
        </w:rPr>
        <w:t>E. 6</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w:t>
      </w:r>
    </w:p>
    <w:p>
      <w:r>
        <w:t>A/2907/2011 - 10/16 - dommageables qui se trouvent dans un rapport de causalité naturelle (ATF 119 V 337 consid. 1, 118 V 289 consid. 1b et les références) et adéquate avec l'événement assuré (ATF 125 V 461 consid. 5a et les références). b)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U 80/05 du 18 novembre 2005).</w:t>
      </w:r>
    </w:p>
    <w:p>
      <w:r>
        <w:rPr>
          <w:b/>
        </w:rPr>
        <w:t>E. 7</w:t>
      </w:r>
    </w:p>
    <w:p>
      <w:r>
        <w:t>Selon l'art. 18 al. 1er LAA, si l’assuré est invalide (art. 8 LPGA) à 10 % au moins par suite d’un accident, il a droit à une rente d’invalidité. Il sied de préciser que la notion d'invalidité définie à l'art. 8 LPGA, est en principe identique en matière d'assurance-accidents, d'assurance militaire et d'assurance- invalidité (ATF I 853/05 du 28 décembre 2006, consid. 4.1.1; ATF 126 V 288, consid. 2d).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 I 15/06 du 21 décembre 2006, consid. 2.2).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w:t>
      </w:r>
    </w:p>
    <w:p>
      <w:r>
        <w:t>A/2907/2011 - 11/16 - faveur ou en défaveur de l'assuré, qu'il s'agisse de l'évaluation du revenu avec ou sans invalidité (ATF I 433/01 du 20 mars 2002, consid. 4c; ATF I 320/01 du 10 décembre 2001, consid. 2a). S’agissant du revenu sans invalidité,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Si l'on ne peut déterminer ou évaluer sûrement le revenu hypothétique sans invalidité et le revenu d'invalide, il faut, en s'inspirant de la méthode spécifique pour non-actifs (art. 8 al. 3 LPGA; art. 28a al. 2 LAI [pour la période antérieure au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w:t>
      </w:r>
    </w:p>
    <w:p>
      <w:r>
        <w:rPr>
          <w:b/>
        </w:rPr>
        <w:t>E. 9</w:t>
      </w:r>
    </w:p>
    <w:p>
      <w:r>
        <w:t>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l'OFS (ATF 124 V 321,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w:t>
      </w:r>
    </w:p>
    <w:p>
      <w:r>
        <w:t>A/2907/2011 - 12/16 -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8C_780/2008 du 3 juin 2009, consid. 3.3.1).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S'agissant de rapports et d'expertises réalisées par des médecins liés à l'assureur par des rapports de service, la jurisprudence considère que cela ne permet pas de conclure pour ce seul motif à un manque d'objectivité ou d'impartialité de leur part (ATF 122 V 157, consid. 1c).</w:t>
      </w:r>
    </w:p>
    <w:p>
      <w:r>
        <w:t>A/2907/2011 - 13/16 -</w:t>
      </w:r>
    </w:p>
    <w:p>
      <w:r>
        <w:rPr>
          <w:b/>
        </w:rPr>
        <w:t>E. 11</w:t>
      </w:r>
    </w:p>
    <w:p>
      <w:r>
        <w:t>En l’espèce, le recourant fait grief à l'intimée de nier une péjoration de son état de santé. Il conteste également le fait que l'intimée n'ait pas procédé à un nouveau calcul d'invalidité, alors même que ses conditions salariales se sont, sensiblement et bien malgré lui, modifiées, alors même qu'il a fourni des efforts pour se réinsérer professionnellement. Il reproche enfin à la SUVA de n'avoir pas procédé à une observation en milieu professionnel et de n'avoir pas retenu de diminution de rendement dans son cas, alors même que son employeur l'avait justement licencié en raison de cette diminution. L'intimée considère quant à elle qu'il n'y a pas d'élément permettant de mettre en doute l'analyse effectuée par son médecin d'arrondissement. Les médecins traitants du recourant n'avaient en effet jamais posé que les répercussions des séquelles accidentelles s'étaient notablement modifiées depuis l'examen final de novembre 2008, de sorte qu'il ne se justifiait pas de procéder à une nouvelle comparaison des revenus. L'état de santé étant resté inchangé, d'autres mesures d'instruction ne se révélaient pas nécessaires non plus.</w:t>
      </w:r>
    </w:p>
    <w:p>
      <w:r>
        <w:rPr>
          <w:b/>
        </w:rPr>
        <w:t>E. 12</w:t>
      </w:r>
    </w:p>
    <w:p>
      <w:r>
        <w:t>En l'occurrence, figurent au dossier de nombreux rapports du médecin traitant ainsi que l'appréciation du médecin d'arrondissement de la SUVA. Le Dr Q__________ a estimé, à l'instar du Dr P__________, que les interventions pratiquées par le médecin traitant du recourant en juin 2010 et février 2011 n'avaient pas modifié l'exigibilité déterminée par son confrère en 2008. Il a conclu, après avoir fait un résumé du dossier du recourant, en tenant compte des plaintes exprimées et suite à un examen clinique, qu'il pouvait mettre en valeur une pleine capacité de travail dans une activité adaptée à ses limitations fonctionnelles. Il a d'ailleurs décrit lesdites limitations, soit l'impossibilité d'exercer un emploi exigeant de la force de préhension de la main droite ou le port de charges supérieur à 5 kg. De son côté, le médecin traitant du recourant a estimé que l'évolution était lentement défavorable, de sorte qu'une arthrodèse avait été programmée. Suite à cette première opération de juin 2010, la force de la main droite s'était améliorée. Il y avait d'ailleurs une consolidation clinique et radiologique. Le médecin traitant a considéré que, d'un point de vue strictement chirurgical, le résultat était excellent, même s'il fallait s'attendre à ce qu'un dommage demeure. Il a jugé que les douleurs alléguées étaient à mettre en relation avec de problèmes psycho-sociaux. Suite à la seconde intervention de février 2011, le Dr O__________ a attesté que l'arthrodèse était consolidée et que la force était diminuée de moitié, de sorte que des mesures professionnelles semblaient indiquées dans le cas de l'assuré.</w:t>
      </w:r>
    </w:p>
    <w:p>
      <w:r>
        <w:rPr>
          <w:b/>
        </w:rPr>
        <w:t>E. 13</w:t>
      </w:r>
    </w:p>
    <w:p>
      <w:r>
        <w:t>De l'avis de la Cour, il apparaît que les deux interventions chirurgicales que le recourant a dû subir n'ont certes pas eu de réel succès du point de vue des douleurs, son médecin traitant a néanmoins jugé que les suites desdites opérations étaient favorables. Aussi, la persistance des douleurs devait-elle être attribuée à des</w:t>
      </w:r>
    </w:p>
    <w:p>
      <w:r>
        <w:t>A/2907/2011 - 14/16 - problèmes étrangers à l'accident, et en particulier celui lié à la crainte d'être renvoyé dans son pays d'origine. Il n'y a dès lors pas de nouveau diagnostic, ni même la description de limitations fonctionnelles plus importantes de la part du Dr O__________ par rapport à la situation qui prévalait en 2009 et permettant de jeter le doute sur l'analyse du médecin d'arrondissement. Le diagnostic de trouble dépressif récurrent réactionnel à un état de stress post- traumatique, posé par le Dr P__________ dans son rapport du 19 mai 2011, n'y vient rien changer. Déjà, ce praticien a estimé que malgré les affections dont souffrait le recourant, l'exercice d'une activité était encore exigible à 100%, malgré les douleurs et l'impotence fonctionnelle. Ensuite, la Cour rappellera qu'un traumatisme psychique ne constitue un accident que lorsqu'il est le résultat d'un événement d'une grande violence survenu en présence de l'assuré et que l'événement dramatique est propre à faire naître une terreur subite même chez une personne moins capable de supporter certains chocs nerveux (SJ 1998 p. 429). Ainsi, seuls des événements extraordinaires propres à susciter l'effroi et entraînant des chocs psychiques eux-mêmes extraordinaires remplissent la condition du caractère extraordinaire de l'atteinte et partant, sont constitutifs d'un accident (RAMA 2000 n° U 365 p. 89; ATF 129 V 402 consid. 2.1 et les références). En l'occurrence, l'accident subi par le recourant, à savoir sa chute depuis une benne, n'était pas d'une rare violence et propre à faire naître un trouble psychique. La Cour de céans constate ainsi que les troubles psychiques présentés par le recourant - qui sont certes susceptibles de limiter sa capacité de travail dans une certaine mesure - ne sont pas en lien de causalité naturelle avec l’accident du 30 novembre 2007. C'est donc à bon droit que la SUVA n'a pas retenu le nouveau diagnostic posé par le Dr P__________, dans la détermination du degré d'invalidité du recourant. Il s'ensuit qu'aucun des rapports produits ne permet de douter de l'analyse effectuée par le médecin d'arrondissement de l'intimée, l'état de santé du recourant devant être considéré comme stabilisé depuis sa première demande de prestations d'invalidité.</w:t>
      </w:r>
    </w:p>
    <w:p>
      <w:r>
        <w:rPr>
          <w:b/>
        </w:rPr>
        <w:t>E. 14</w:t>
      </w:r>
    </w:p>
    <w:p>
      <w:r>
        <w:t>La Cour relèvera que l'intimée a néanmoins omis d'investiguer la question de la diminution de rendement alléguée par le recourant et attestée par son employeur. Il apparaît que ladite diminution - non contestée puisque constatée par la SUVA elle- même lors de son déplacement sur le lieu de travail du recourant - doit être attribuée essentiellement au fait que l'activité de couturier - choisie par le recourant pour se réinsérer professionnellement - n'était pas en adéquation avec ses limitations fonctionnelles. Il a en effet décrit que, dans ses tâches quotidiennes, sa main droite était énormément sollicitée; son travail consistait à concevoir et réaliser en atelier des habillements pour femmes ou hommes en divers textiles. Il assemblait ainsi toutes les pièces à la machine à coudre et à la main, il ajoutait les boutons et autres éléments de fermeture. Il effectuait aussi les retouches. Cette activité exigeait de lui une grande habilité, de l'adresse, de la précision dans les mouvements ainsi</w:t>
      </w:r>
    </w:p>
    <w:p>
      <w:r>
        <w:t>A/2907/2011 - 15/16 - qu'une certaine force de préhension et de serrage des mains, lorsqu'il devait utiliser les ciseaux, le fer à repasser ou maintenir fermement les étoffes des deux mains. Sa tâche était d'ailleurs grandement compliquée par le fait qu'il était droitier. Il s'ensuit que la diminution de rendement constatée par l'employeur du recourant était inévitable, dans une activité ne tenant pas compte des limitations fonctionnelles de la main droite du recourant. La Cour de céans relèvera enfin que les problèmes psycho-sociaux du recourant ont probablement contribué à cette diminution de rendement, conformément aux déclarations de ses médecins traitants. En l'absence de nouveau diagnostic, l'intimée n'avait pas à procéder à nouveau au calcul d'invalidité du recourant, ni même à tenir compte de cette diminution de rendement.</w:t>
      </w:r>
    </w:p>
    <w:p>
      <w:r>
        <w:rPr>
          <w:b/>
        </w:rPr>
        <w:t>E. 15</w:t>
      </w:r>
    </w:p>
    <w:p>
      <w:r>
        <w:t>C’est donc à juste titre que l’intimée n’a pas augmenté le taux de la rente d’invalidité du recourant.</w:t>
      </w:r>
    </w:p>
    <w:p>
      <w:r>
        <w:rPr>
          <w:b/>
        </w:rPr>
        <w:t>E. 16</w:t>
      </w:r>
    </w:p>
    <w:p>
      <w:r>
        <w:t>Il ressort enfin du dossier que le recourant a réellement fourni de nombreux efforts pour se réinsérer professionnellement. Il semble qu'aujourd'hui il émette de sérieux doutes sur son avenir professionnel, ne sachant pas quel type d'activité il peut encore exercer. L'aide au placement telle que suggérée par l'OAI lors de sa première prise de position en mai 2009 semble être une mesure appropriée pour que le recourant réussisse à mettre à profit sa capacité résiduelle de travail dans une activité adaptée. Il est dès lors rappelé qu'il lui est loisible de formuler une demande écrite en ce sens à l'OAI (art. 18 al. 1 LAI) ainsi qu'une nouvelle demande de prestations (rente et/ou mesures de réadaptation professionnelle), s'il estime que son état s'est aggravé dans une mesure notable.</w:t>
      </w:r>
    </w:p>
    <w:p>
      <w:r>
        <w:rPr>
          <w:b/>
        </w:rPr>
        <w:t>E. 17</w:t>
      </w:r>
    </w:p>
    <w:p>
      <w:r>
        <w:t>Mal fondé, le recours sera rejeté.</w:t>
      </w:r>
    </w:p>
    <w:p>
      <w:r>
        <w:t>A/2907/2011 - 16/16 -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