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ATAS/665/2011 vom 29. Juni 2011</w:t>
      </w:r>
    </w:p>
    <w:p>
      <w:r>
        <w:t>GE Cour de justice, 2011-06-29, FR</w:t>
      </w:r>
    </w:p>
    <w:p>
      <w:r>
        <w:rPr>
          <w:b/>
        </w:rPr>
        <w:t xml:space="preserve">Quelle: </w:t>
      </w:r>
      <w:r>
        <w:t>https://mcp.opencaselaw.ch/entscheid/ge_gerichte_ATAS_665_2011</w:t>
      </w:r>
    </w:p>
    <w:p>
      <w:r>
        <w:t>FR: GE_GERICHTE ATAS/665/2011 du 29 juin 2011</w:t>
      </w:r>
    </w:p>
    <w:p>
      <w:r>
        <w:t>IT: GE_GERICHTE ATAS/665/2011 del 29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w:t>
      </w:r>
    </w:p>
    <w:p>
      <w:r>
        <w:t>A/1412/2011 - 7/10 -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l’espèce, le recourant considère qu'en ayant attendu plus d'une année après l'arrêt du TCAS pour mettre en œuvre une expertise, l'intimé a commis un déni de justice. L'intimé objecte qu'il a dû effectuer des démarches auprès du SMR ainsi qu'auprès des divers médecins du recourant afin de réactualiser les données. La Cour de céans constate que l'arrêt du TCAS du 26 novembre 2009, notifié à l'intimé le 2 décembre 2009, était parfaitement clair : le tribunal a annulé la décision de suppression de rente et renvoyé la cause à l'administration pour instruction complémentaire dans le sens des considérants et nouvelle décision sur révision. Dans ses considérants, le TCAS a jugé, d'une part, que les renseignements médicaux et professionnels recueillis par l'intimé lors de l'instruction ne permettaient pas de reconsidérer la décision initiale de rente et, d'autre part, qu'ils étaient insuffisants pour statuer sur révision, dès lors qu'ils n'établissaient pas l'évolution de l'état de santé du recourant depuis la décision initiale. Il était ainsi indispensable de mettre sur pied une expertise neurologique ou pluridisciplinaire susceptible d'élucider l'état de fait médical. Au vu de ce qui précède, on comprend mal pourquoi l'intimé a jugé encore nécessaire de solliciter à deux reprises l'avis du SMR sur ce point. Cette démarche a en effet ralenti considérablement la durée de la procédure, puisque le second avis du SMR a été rendu en octobre 2010 et qu'un mandat d'expertise n'a pu être notifié aux HUG qu'en date du 18 mai 2011 seulement. L'intimé aurait dû exécuter l'arrêt du TCAS sans délai, quitte à interroger encore rapidement les médecins du recourant afin de réactualiser les données. En procédant à des démarches inutiles auprès du SMR, retardant ainsi la procédure de plusieurs mois, et en mandatant finalement un expert en mai 2011 seulement, soit seize mois après l'arrêt du TCAS, la Cour de céans constate que l'intimé a commis un déni de justice que rien ne justifiait.</w:t>
      </w:r>
    </w:p>
    <w:p>
      <w:r>
        <w:t>A/1412/2011 - 9/10 - Il incombera à l'intimé de faire en sorte que l'expertise soit rendue le plus rapidement possible, puis de statuer sur révision.</w:t>
      </w:r>
    </w:p>
    <w:p>
      <w:r>
        <w:rPr>
          <w:b/>
        </w:rPr>
        <w:t>E. 5</w:t>
      </w:r>
    </w:p>
    <w:p>
      <w:r>
        <w:t>Le recourant conclut à la restitution de l'effet suspensif à son recours du 13 juillet 2009 contre la décision du 11 juin 2009, en ce sens qu'il demande la reprise du versement de sa rente d'invalidité supprimée à tort par l'intimé. Cette conclusion n'est pas recevable dans le cadre du présent recours pour déni de justice. Cela étant, la Cour de céans constate que le recourant a, à plusieurs reprises, sollicité de l'intimé la reprise du versement de sa rente et exigé une décision susceptible de recours sur ce point. L'intimé n'a pas rendu de décision à cet égard, se contentant de répondre par simple courrier. Or, conformément à l'art. 49 al. 1 LPGA, l'assureur doit rendre par écrit les décisions qui portent sur des prestations, créances ou injonctions importantes ou avec lesquelles l'intéressé n'est pas d'accord. En l'occurrence, il appartenait à l'intimé de donner suite à la requête du recourant - qui apparaît comme étant une demande de mesures provisionnelles au sens de l'at. 56 de la loi fédérale sur la procédure administrative, du 20 décembre 1968 (PA ; RS 172.021) - et rendre une décision dûment motivée (cf. ATF 119 V 295, 506). Ne l'ayant point fait, force est de constater que l'intimé a commis un nouveau déni de justice. Partant, le recours est admis en ce sens.</w:t>
      </w:r>
    </w:p>
    <w:p>
      <w:r>
        <w:rPr>
          <w:b/>
        </w:rPr>
        <w:t>E. 6</w:t>
      </w:r>
    </w:p>
    <w:p>
      <w:r>
        <w:t>Le recourant, qui obtient gain de cause, a droit à une indemnité à titre de participation à ses frais et dépens, que la Cour de céans fixe en l'occurrence à 1'500 fr. (art. 89H loi sur la procédure administrative, du 12 septembre 1985 (LPA ; RS E 5 10); art. 61 let. g LPGA).</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