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ATAS/662/2018 vom 27. Juli 2018</w:t>
      </w:r>
    </w:p>
    <w:p>
      <w:r>
        <w:t>GE Cour de justice, 2018-07-27, FR</w:t>
      </w:r>
    </w:p>
    <w:p>
      <w:r>
        <w:rPr>
          <w:b/>
        </w:rPr>
        <w:t xml:space="preserve">Quelle: </w:t>
      </w:r>
      <w:r>
        <w:t>https://mcp.opencaselaw.ch/entscheid/ge_gerichte_ATAS_662_2018</w:t>
      </w:r>
    </w:p>
    <w:p>
      <w:r>
        <w:t>FR: GE_GERICHTE ATAS/662/2018 du 27 juillet 2018</w:t>
      </w:r>
    </w:p>
    <w:p>
      <w:r>
        <w:t>IT: GE_GERICHTE ATAS/662/2018 del 27 luglio 2018</w:t>
      </w:r>
    </w:p>
    <w:p>
      <w:pPr>
        <w:pStyle w:val="Heading2"/>
      </w:pPr>
      <w:r>
        <w:t>Erwägungen</w:t>
      </w:r>
    </w:p>
    <w:p>
      <w:r>
        <w:rPr>
          <w:b/>
        </w:rPr>
        <w:t>E. 13</w:t>
      </w:r>
    </w:p>
    <w:p>
      <w:r>
        <w:t>Par courrier recommandé du 12 juin 2018, l'intimée a communiqué à la chambre de céans copie du courrier qu'elle adressait le même jour à la recourante, lui confirmant avoir sollicité de ses collègues en charge des assurances perte de gain maladie la possibilité de prendre charge une partie des prétentions litigieuses, soit les indemnités journalières relevant de la maladie depuis le 1er août 2017 jusqu'à fin janvier 2018. Par lettre du 17 août 2017, Swica assurance-maladie SA avait adressé à la recourante un courrier (dont copie annexée) se référant à la lettre de l'assureur- accident (l'intimée) du 31 juillet 2017. Son licenciement au 28 février 2017 et son statut de frontalière ne lui permettaient malheureusement pas de bénéficier de l'assurance individuelle par le biais du libre-passage. De ce fait elle n'avait plus de couverture d'assurance perte de gain maladie à partir du 1er mars 2017. Par conséquent, son cas maladie ayant débuté le 1er août 2017 n'était pas à la charge de Swica assurance-maladie SA.</w:t>
      </w:r>
    </w:p>
    <w:p>
      <w:r>
        <w:rPr>
          <w:b/>
        </w:rPr>
        <w:t>E. 14</w:t>
      </w:r>
    </w:p>
    <w:p>
      <w:r>
        <w:t>Sur quoi les parties ont été informées que la cause était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(art. 1 al. 1 LAA). 3. Interjeté dans la forme et le délai prévus par la loi - certes adressée à une autorité incompétente mais dûment transmise par cette dernière à la chambre de céans (art. 64 al. 2 LPA) -, le recours est recevable (art. 60 al. 1 LPGA ; art. 89B de la loi sur la procédure administrative du 12 septembre 1985 – LPA ; RS/GE E 5 10). 4. Est seule litigieuse la prise en charge par l’intimée des prestations d'assurance- accidents à raison troubles (douleurs) dont souffre l’assurée au niveau de l'avant- pied droit, singulièrement la question de savoir si ces atteintes sont en lien de causalité avec l’accident du 2 février 2017, au-delà du 31 juillet 2017.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t>A/4181/2017 - 7/14 - 6.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t>A/4181/2017 - 8/14 -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w:t>
      </w:r>
    </w:p>
    <w:p>
      <w:r>
        <w:t>A/4181/2017 - 9/14 -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A/4181/2017 - 10/14 -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Aux termes de l'art. 10 al. 1 LAA, l'assuré a droit au traitement médical approprié des lésions résultant de l'accident.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w:t>
      </w:r>
    </w:p>
    <w:p>
      <w:r>
        <w:t>A/4181/2017 - 11/14 -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l’occurrence, la recourante a contesté la décision sur opposition de l'intimée du 12 septembre 2017 car elle éprouvait toujours une vive douleur au pied droit : elle ne pouvait supporter la semelle conseillée par l'expert (Dr F______). Son médecin traitant avait prescrit une IRM qui, selon elle, et selon le diagnostic posé par le Dr G______ confirme « qu'elle a bien une fracture du deuxième métatarsien suite à l'accident du 2 février 2017 ». L'intimée pour sa part conteste que les douleurs ressenties par la recourante puissent trouver leur origine dans l'accident de février 2017, se fondant sur les conclusions de l'expert F______. Elle observe que le document médical produit par la recourante ne fait que conforter les conclusions de l'expert, le radiologue ayant conclu à une ostéonécrose de la tête de M2, d'allure récente, œdème osseux associé, à l'origine des symptômes. La décision entreprise étant dès lors fondée sur le rapport de l'expert indépendant mandaté par l'intimé, il s'agit de déterminer si l'on peut accorder à ce rapport une pleine valeur probante, au sens de la jurisprudence rappelée précédemment. Le rapport de l'expertise pratiquée par le Dr F______ doit se voir reconnaître une pleine valeur probante. L'expert est en effet un spécialiste reconnu ; ce rapport a été établi sur la base d'observations approfondies et d'investigations complètes, ainsi qu'en pleine connaissance du dossier. L'expert a examiné personnellement la patiente, a recueilli tous les éléments anamnestiques utiles, sur le plan familial, personnel, professionnel et sur l'état actuel de la patiente. On relèvera d'ailleurs que sur le plan anamnestique, ce rapport est beaucoup plus complet que n'importe quel autre document médical versé au dossier jusqu'ici. L'expert a recueilli les plaintes de la patiente, a procédé à un status très complet, ainsi qu'à des examens complémentaires, soit des radiographies de la cheville et de l'avant-pied droit sous plusieurs angles. Il a posé les diagnostics précis concordant en tous points avec ceux posés par les médecins traitants de la recourante : c'est le cas en particulier de la fracture type Weber B, de la malléole externe de la cheville droite, qui d'emblée était peu déplacée ; l'expert a constaté qu'elle était consolidée en position</w:t>
      </w:r>
    </w:p>
    <w:p>
      <w:r>
        <w:t>A/4181/2017 - 12/14 - anatomique, sans complications. En ce qui concerne l'avant-pied droit, les radiographies qu'il a lui-même effectuées le 18 juillet 2017, sont pour l'essentiel parfaitement superposables à celles effectuées le 24 avril 2017. Il confirme ce qui avait déjà été mis en évidence par le Dr E______, soit que le deuxième métatarsien est plus long (beaucoup plus long selon l'expert) que le premier et le deuxième (recte : troisième). En plus des constatations du Dr E______ il observe que la tête de la diaphyse du deuxième métatarsien est plus dense que celle des autres métatarsiens, la tête étant aplatie. C'est du reste ces précisions supplémentaires qui ont amené l'expert à l'explication que la longueur plus importante du deuxième métatarsien provoque un hyper-appui plantaire, la tête (aplatie) de ce métatarsien évoquant une séquelle d'ancienne maladie de Freiberg, la diaphyse de ce même métatarsien, plus dense que les autres, évoquant une surcharge mécanique et un bombement de la corticale de la diaphyse du 3e métatarsien, suggérant une ancienne fracture de fatigue ou une hypertrophie corticale par surcharges mécaniques. Ce qui l'a conduit aux diagnostics supplémentaires qu'il retient. On notera d'ailleurs que le rapport d'IRM produit par la recourante à l'appui de son recours confirme l'observation de l'expert au sujet de l'aplatissement de la tête du deuxième métatarsien (avec ostéonécrose). On relèvera enfin que les conclusions de l'expert sont bien motivées, convaincantes, et exemptes de contradictions. Aucun élément du dossier, en particulier en termes d'avis médical, n'est de nature à jeter le moindre doute sur la fiabilité que l'on peut accorder aux conclusions de l'expert. Comme on l'a vu, les diagnostics de l'expert et des médecins traitants sont identiques sinon concordants, le dernier document médical, postérieur au rapport de l'expert ne faisant que confirmer et conforter les observations et conclusions de l'expert. Pour le reste, et s'agissant en particulier de la question centrale litigieuse, soit de l'établissement d'un rapport de causalité entre l'accident du 2 février 2017 et les atteintes constatées sur l'avant-pied droit de la recourante, aucun des médecins traitants n'a remis en cause les conclusions de l'expert. La Dresse D______ a reçu copie du rapport d'expertise mais ne l'a jamais remis en cause ; il semble du reste qu'elle ait suivi les recommandations de l'expert en prescrivant des semelles plantaires à la patiente, même si cette dernière, lors de son audition par la chambre de céans, a indiqué qu'elle ne les supportait pas. Certes dans son rapport du 24 avril 2017, commentant le bilan radiologique de l'époque, indiquait-elle la présence d'une fracture du troisième métatarse du pied droit « secondaire à l'accident du 2 février 2017 », sans toutefois discuter cette question ; au demeurant, ce rapport est antérieur à l'expertise, et il ne saurait se voir reconnaître une valeur probante par rapport à cette question. Il en est du reste de même du rapport IRM produit par l'assurée à l'appui de son recours : la seule référence que l'on pourrait y voir par rapport à l'accident du 2 février 2017 se trouve en réalité en italique sous le titre de l'examen. Or, cette mention n'est autre que l'exposé de la raison pour laquelle cet examen a été sollicité ; et de ce point de vue, on ne saurait y reconnaître la moindre valeur probante, les conditions jurisprudentielles pour que tel fût le cas n'étant manifestement pas réunies. Ainsi donc, la chambre de céans, conformément</w:t>
      </w:r>
    </w:p>
    <w:p>
      <w:r>
        <w:t>A/4181/2017 - 13/14 - à la jurisprudence précitée, n'a identifié aucun indice permettant de douter du bien- fondé des conclusions de l'expert de sorte qu'elle ne saurait s'en écarter (ATF 125 V 351 consid. 3b/bb). Quant à la recourante, le seul fait qu'elle affirme ne jamais avoir souffert de son pied avant l'accident de février 2017, pour en déduire que les douleurs résiduelles qu'elle ressentait encore du début août 2017 jusqu'à sa complète guérison à fin janvier 2018, devaient trouver leur cause dans cet accident, ne suffit évidemment pas, selon la jurisprudence précédemment rappelée, à établir un lien de causalité, ni naturelle ni a fortiori adéquate, entre ces troubles et l'accident du 2 février 2017. Il en résulte que, vu ce qui précède, le recours, mal fondé, doit être rejeté. 11. Pour le surplus, la procédure est gratuite (art. 61 lettre a LPGA et 89H al. 1 LPA).</w:t>
      </w:r>
    </w:p>
    <w:p>
      <w:r>
        <w:t>A/4181/2017 - 14/14 -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