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ATAS/662/2013 vom 24. Juni 2013</w:t>
      </w:r>
    </w:p>
    <w:p>
      <w:r>
        <w:t>GE Cour de justice, 2013-06-24, FR</w:t>
      </w:r>
    </w:p>
    <w:p>
      <w:r>
        <w:rPr>
          <w:b/>
        </w:rPr>
        <w:t xml:space="preserve">Quelle: </w:t>
      </w:r>
      <w:r>
        <w:t>https://mcp.opencaselaw.ch/entscheid/ge_gerichte_ATAS_662_2013</w:t>
      </w:r>
    </w:p>
    <w:p>
      <w:r>
        <w:t>FR: GE_GERICHTE ATAS/662/2013 du 24 juin 2013</w:t>
      </w:r>
    </w:p>
    <w:p>
      <w:r>
        <w:t>IT: GE_GERICHTE ATAS/662/2013 del 24 giugno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Interjetés en temps utile les recours sont recevables (art. 60 LPGA et 43 LPCC).</w:t>
      </w:r>
    </w:p>
    <w:p>
      <w:r>
        <w:rPr>
          <w:b/>
        </w:rPr>
        <w:t>E. 3</w:t>
      </w:r>
    </w:p>
    <w:p>
      <w:r>
        <w:t>Le 21 mai 2013, l'intimé a rendu une décision, qualifiée de version test et portant sur la période du 1er mars 2008 au 31 janvier 2011, soit la période litigieuse concernant les deux procédures actuellement jointes; en effet le recours A/3815/2012 portait sur la période du 1er mars 2008 au 31 décembre 2009 et le recours A/3821/2011 portait sur la période du 1er janvier 2010 au 31 janvier 2011. La recourante ayant acquiescé à cette proposition, il convient de l'entériner. Ainsi le droit de la recourante pour la période du 1er mars 2008 au 31 janvier 2011 correspond à celui calculé par le SPC dans sa décision en version test du 21 mai 2013 aboutissant à un solde en faveur de l'assurée de 4'688 fr.</w:t>
      </w:r>
    </w:p>
    <w:p>
      <w:r>
        <w:rPr>
          <w:b/>
        </w:rPr>
        <w:t>E. 4</w:t>
      </w:r>
    </w:p>
    <w:p>
      <w:r>
        <w:t>Condamne l'intimé à verser une indemnité de 2'000 fr. à la recourante.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