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ATAS/661/2025 vom 27. August 2025</w:t>
      </w:r>
    </w:p>
    <w:p>
      <w:r>
        <w:t>GE Cour de justice, 2025-08-27, FR</w:t>
      </w:r>
    </w:p>
    <w:p>
      <w:r>
        <w:rPr>
          <w:b/>
        </w:rPr>
        <w:t xml:space="preserve">Quelle: </w:t>
      </w:r>
      <w:r>
        <w:t>https://mcp.opencaselaw.ch/entscheid/ge_gerichte_ATAS_661_2025</w:t>
      </w:r>
    </w:p>
    <w:p>
      <w:r>
        <w:t>FR: GE_GERICHTE ATAS/661/2025 du 27 août 2025</w:t>
      </w:r>
    </w:p>
    <w:p>
      <w:r>
        <w:t>IT: GE_GERICHTE ATAS/661/2025 del 27 agosto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aux art. 1 à 97 LAVS, moins que la loi n’y déroge expressément.</w:t>
      </w:r>
    </w:p>
    <w:p>
      <w:r>
        <w:rPr>
          <w:b/>
        </w:rPr>
        <w:t>E. 1.3</w:t>
      </w:r>
    </w:p>
    <w:p>
      <w:r>
        <w:t>Le délai de recours est de trente jours (art. 56 LPGA; art. 62 al. 1 de la de loi sur la procédure administrative du 12 septembre 1985 [LPA - E 5 10]). La décision litigieuse a été régulièrement notifiée à la recourante le 23 mai 2024. Interjeté dans la forme et le délai prévus par la loi, compte tenu de la suspension des délais pendant la période du 18 décembre au 2 janvier inclusivement (art. 38 al. 4 let. c LPGA et art. 89C let. c LPA), le recours est recevable.</w:t>
      </w:r>
    </w:p>
    <w:p>
      <w:r>
        <w:rPr>
          <w:b/>
        </w:rPr>
        <w:t>E. 2</w:t>
      </w:r>
    </w:p>
    <w:p>
      <w:r>
        <w:t>Le litige porte sur le bien-fondé des cotisations complémentaires de CHF 1'687.85 facturées à la recourante pour tenir compte d’une part d'utilisation privée par l'associé gérant du véhicule C______ en 2021.</w:t>
      </w:r>
    </w:p>
    <w:p>
      <w:r>
        <w:rPr>
          <w:b/>
        </w:rPr>
        <w:t>E. 3.1</w:t>
      </w:r>
    </w:p>
    <w:p>
      <w:r>
        <w:t>Selon l'art. 1a al. 1 let. a LAVS, sont obligatoirement assurés conformément à la présente loi les personnes physiques domiciliées en Suisse qui exercent une activité professionnelle indépendante. Selon l'art. 3 al. phr. 1 LAVS, les assurés sont tenus de payer des cotisations tant qu'ils exercent une activité lucrative. Selon l'al. 2 de cette même disposition, ne sont pas tenus de payer des cotisations les enfants qui exercent une activité lucrative jusqu'au 31 décembre de l'année où ils ont accompli leur 17e année (let. a) et les membres de la famille travaillant dans l'entreprise familiale, s'ils ne touchent aucun salaire en espèces, jusqu'au 31 décembre de l'année au cours de laquelle ils ont accompli leur 20e année (let. d). Aux termes de l'art. 8 al. 1 phr. 1 LAVS, une cotisation de 7.8% est perçue sur le revenu provenant d'une activité indépendante. Selon l'art. 9 al. 3 LAVS, le revenu provenant d'une activité indépendante et le capital propre engagé dans l'entreprise sont déterminés par les autorités fiscales cantonales et communiqués aux caisses de compensation.</w:t>
      </w:r>
    </w:p>
    <w:p>
      <w:r>
        <w:t>A/2073/2024 - 13/17 - 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131 V 446 consid. 1.1, 128 V 180 consid. 3c, 126 V 222 consid. 4a, 124 V 101 consid. 2 et la jurisprudence citée). L’art. 7 du règlement sur l’assurance-vieillesse et survivants, du 31 octobre 1947 (RAVS - RS 831.101) énumère divers éléments du salaire déterminant pour le calcul des cotisations, notamment les prestations en nature ayant un caractère régulier (let. f). Selon l’art. 13 RAVS, la valeur de tout revenu en nature d'un autre genre sera estimée par la caisse de compensation dans chaque cas et selon les circonstances. L’office fédéral des assurances sociales (ci-après : OFAS) a édicté des Directives sur le salaire déterminant dans l’AVS, AI et APG (ci-après : DSD) qui précisent les éléments entrant en ligne de compte dans le salaire déterminant. Selon le ch. 2078 DSD, dans sa version valable depuis le 1er janvier 2019, est considéré comme revenu en nature d’un autre genre, la remise d’une voiture de société à des fins privées. Les caisses de compensation évaluent l’utilisation à des fins privées de la voiture de société de manière identique à celle applicable à l'impôt fédéral direct (DSD n° 2079). Le ch. 2079 DSD, dans sa version valable jusqu'au 31 décembre 2021, renvoyait aux ch. 21 et suivants du guide d’établissement du certificat de salaire et de l’attestation de rentes publié par la Conférence suisse des impôts et l’Administration fédérale des contributions. Le guide d’établissement de certificat de salaire et de l’attestation de rentes (Guide) établit des critères pour déterminer la part privée à la voiture de service. Il mentionne que si l’employeur prend à sa charge la totalité des frais, l’employé ne réglant que les frais de carburant pour ses longs trajets privés le week-end ou durant les vacances, il déclarera 0.8% par mois du prix d’achat du véhicule (hors taxe sur la valeur ajoutée), mais au moins CHF 150.- par mois (Guide n° 21). Il est spécifié qu’aucune déclaration ne doit être faite si l’employé n’a le droit</w:t>
      </w:r>
    </w:p>
    <w:p>
      <w:r>
        <w:t>A/2073/2024 - 14/17 - d’utiliser le véhicule de service que pour ses trajets domicile – lieu de travail, à l’exclusion de tout autre usage privé (Guide n° 24). Selon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 Selon l'art. 27 RAVS, pour toutes les personnes exerçant une activité indépendante qui leur sont affiliées, les caisses de compensation demandent aux autorités fiscales cantonales de leur communiquer les indications nécessaires au calcul des cotisations. L'OFAS édicte des directives sur les indications requises et la procédure de communication (al. 1). Les autorités fiscales cantonales transmettront les indications au fur et à mesure aux caisses de compensation pour chaque année fiscale (al. 2).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 arrêt du Tribunal fédéral 9C_162/2014 du 31 juillet 2014, consid. 3.1). Le Tribunal fédéral a précisé s'agissant de la fixation des cotisations AVS/AI/APG en cas d'activité indépendante ; ensuite de la modification de la LAVS entrée en vigueur le 1er janvier 2012 (art. 9 al. 3 et 4 LAVS, art. 23 al. 4 et art. 27 al. 1 RAVS), que le revenu provenant de l'exercice d'une activité indépendante communiqué par l'autorité fiscale à la caisse de compensation doit être considéré, du point de vue du droit des cotisations, comme du revenu net et être majoré pour être amené à 100% pour le calcul des cotisations AVS/AI/APG. Il y a lieu de s'écarter de ce principe, lorsque la communication de l'autorité</w:t>
      </w:r>
    </w:p>
    <w:p>
      <w:r>
        <w:t>A/2073/2024 - 15/17 - fiscale atteste de façon claire, expresse et dénuée de réserve qu'il n'a été procédé à aucune déduction de cotisations (ATF 139 V 537 538, consid. 5.5. et 6).</w:t>
      </w:r>
    </w:p>
    <w:p>
      <w:r>
        <w:rPr>
          <w:b/>
        </w:rPr>
        <w:t>E. 3.2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w:t>
      </w:r>
    </w:p>
    <w:p>
      <w:r>
        <w:rPr>
          <w:b/>
        </w:rPr>
        <w:t>E. 4</w:t>
      </w:r>
    </w:p>
    <w:p>
      <w:r>
        <w:t>En l’espèce, la chambre de céans constate que l’AFC a indiqué le 24 février 2025 qu’elle n’avait pas considéré que le véhicule C______ de la recourante était utilisé à des fins privées en 2021.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 arrêt du Tribunal fédéral 9C_162/2014 du 31 juillet 2014, consid. 3.1). Dans la décision querellée, l’intimée a estimé que le véhicule C______ en cause était partiellement utilisé à des fins privées, sur la base de considérations générales sur le modèle et la classe de ce véhicule, qui était selon elle proche d’un véhicule de luxe, concluant qu’il était dès lors raisonnable de considérer que ce dernier pouvait aussi être utilisé à titre privé, au moins partiellement. Si l’on peut admettre que l’administration pouvait avoir un doute sur l’usage du véhicule C______, vu le modèle et la classe de ce véhicule, ce doute ne suffisait</w:t>
      </w:r>
    </w:p>
    <w:p>
      <w:r>
        <w:t>A/2073/2024 - 16/17 - pas à fonder la décision de l’intimée, qui ne reposait pas sur une instruction suffisante des faits. L’instruction complémentaire du cas par la chambre de céans n’a pas permis d’établir, au degré de la vraisemblance prépondérante, que le véhicule en cause aurait été utilisé à des fins privées par l’associé gérant en 2021. En effet, lors de l’audience devant la chambre de céans, l’associé gérant a confirmé qu’il était le seul à utiliser le véhicule C______ de la société pour les activités de celle-ci, et il donné des détails sur son travail, les raisons pour lesquelles il avait choisi ce type de véhicule et les motifs pour lesquels il ne l’utilisait pas à titre privé. Ses déclarations sont convaincantes et elles permettent d’écarter les spéculations du réviseur de l’intimée sur l’usage privé qui aurait été fait du véhicule en cause. Les déclarations de son épouse, bien que d’une valeur probante relative vu leurs liens, confirment globalement les déclarations de l’associé gérant. Le fait que le recourant ait déclaré à l’AFC une utilisation partiellement privée du véhicule C______ de son entreprise à raison individuelle tend à confirmer le fait qu’il n’utilisait pas celui-ci à titre privé. En effet, on ne voit pas pourquoi il aurait déclaré un tel usage pour sa société en nom propre et pas pour son activité pour la recourante. Il apparaît en outre crédible qu’il n’avait pas besoin d’utiliser le véhicule C______ de la recourante, car il utilisait déjà à titre privé le véhicule C______ de son entreprise à raison individuelle et qu’il avait encore deux autres véhicules privés immatriculés à son nom.</w:t>
      </w:r>
    </w:p>
    <w:p>
      <w:r>
        <w:rPr>
          <w:b/>
        </w:rPr>
        <w:t>E. 4.1</w:t>
      </w:r>
    </w:p>
    <w:p>
      <w:r>
        <w:t>En conclusion, la chambre de céans retient qu’il ne peut être retenu au degré de la vraisemblance prépondérante que l’associé gérant a fait un usage privé du véhicule C______ de la recourante en 2021, de sorte qu’il ne se justifiait pas de facturer à cette dernière des cotisations complémentaires à ce titre, et la décision sur opposition du 22 mai 2024 doit en conséquence être annulée. La recourante obtenant gain de cause et étant assistée d’un conseil, elle a droit à des dépens qui seront fixés à CHF 2'500.- et mis à la charge de l’intimé (art. 61 let. g LPGA). La procédure est gratuite (art. 61 let. fbis a contrario LPGA).</w:t>
      </w:r>
    </w:p>
    <w:p>
      <w:r>
        <w:t>A/2073/2024 - 17/17 -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