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ATAS/661/2017 vom 25. Juli 2017</w:t>
      </w:r>
    </w:p>
    <w:p>
      <w:r>
        <w:t>GE Cour de justice, 2017-07-25, FR</w:t>
      </w:r>
    </w:p>
    <w:p>
      <w:r>
        <w:rPr>
          <w:b/>
        </w:rPr>
        <w:t xml:space="preserve">Quelle: </w:t>
      </w:r>
      <w:r>
        <w:t>https://mcp.opencaselaw.ch/entscheid/ge_gerichte_ATAS_661_2017</w:t>
      </w:r>
    </w:p>
    <w:p>
      <w:r>
        <w:t>FR: GE_GERICHTE ATAS/661/2017 du 25 juillet 2017</w:t>
      </w:r>
    </w:p>
    <w:p>
      <w:r>
        <w:t>IT: GE_GERICHTE ATAS/661/2017 del 25 luglio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par l’art. 56 de la loi fédérale sur la partie générale du droit des assurances sociales du</w:t>
      </w:r>
    </w:p>
    <w:p>
      <w:r>
        <w:rPr>
          <w:b/>
        </w:rPr>
        <w:t>E. 6</w:t>
      </w:r>
    </w:p>
    <w:p>
      <w:r>
        <w:t>octobre 2000 (LPGA - RS 830.1) relatives à la loi fédérale sur l'assurance- accidents du 20 mars 1981 (LAA - RS 832.20). Sa compétence pour juger du cas d’espèce est ainsi établie, la décision attaquée étant une décision sur opposition de l’assureur-accidents confirmant le refus des prestations prévues par la LAA au titre d’une rechute d’un accident.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7 novembre 2016 contre une décision sur opposition rendue le</w:t>
      </w:r>
    </w:p>
    <w:p>
      <w:r>
        <w:rPr>
          <w:b/>
        </w:rPr>
        <w:t>E. 7</w:t>
      </w:r>
    </w:p>
    <w:p>
      <w:r>
        <w:t>octobre 2016, le recours a été interjeté en temps utile (art. 60 al. 1 LPGA). Il satisfait aux exigences de forme et de contenu prévues par l’art. 61 let. b LPGA (cf. aussi art. 89B LPA). L’assuré a qualité pour recourir (art. 59 LPGA). c. Le recours sera donc déclaré recevable. 2. a. Le recourant invoque une violation de son droit d’être entendu, tenant au fait que des pièces-clés du dossier étaient rédigées en langue allemande. b. Selon l’art. 29 al. 2 de la Constitution fédérale de la Confédération suisse du 18 avril 1999 (Cst. - RS 101), les parties ont le droit d’être entendues. La jurisprudence déduit de cette disposition constitutionnelle – comme d’ailleurs précédemment de l’art. 4 aCst. (ATF 127 I 56 consid. 2b, 12 III 578 consid. 2c, 126 V 130 consid. 2a) –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 arrêt du Tribunal fédéral des assurances I 604/01 du 13 août 2002 consid. 2a/aa ; ATAS/257/2017 du 30 mars 2017 consid. 6b). Sans doute un administré ne peut-il exercer effectivement les prérogatives découlant de son droit d’être entendu s’il ne comprend pas la langue utilisée dans la</w:t>
      </w:r>
    </w:p>
    <w:p>
      <w:r>
        <w:t>A/3798/2016 - 11/19 - procédure. C’est cependant moins au droit d’être entendu qu’à l’interdiction des discriminations du fait de la langue, érigée en droit constitutionnel par l’art. 8 al. 2 de la Constitution fédérale de la Confédération suisse du 18 avril 1999 (Cst. - RS 101), que se rattache le droit de l’intéressé (en particulier d’un assuré en matière d’assurances sociales) d’être mis en mesure de comprendre ce qui se dit et s’écrit au cours de la procédure le concernant (ATF 127 V 219 consid. 2a et b/aa). Ce droit n’implique pas que la procédure doive se dérouler dans la langue de l’intéressé quelle qu’elle soit (ATF 131 V 35 consid. 4, où il est indiqué que ni le principe de l'égalité des langues, ni le principe de la langue officielle n'interdisent aux collaborateurs d'une autorité fédérale de rédiger des communications internes dans une des langues nationales qui n'est pas la langue officielle utilisée concrètement dans les relations avec l'administré). Il implique en revanche au moins le droit à l’assistance d’un interprète (ATF 127 V 219 consid. 2b/bb, selon lequel un assuré ne saurait exiger dans tous les cas qu'une expertise médicale soit conduite et rédigée dans une langue qu'il comprend qui ne serait pas une des langues officielles de la Suisse, le droit à l’assistance d’un interprète restant réservé). Toutefois, dans les relations avec les autorités (arrêt du Tribunal fédéral 2C_700/2015 du 8 décembre 2015 consid. 1.4), en particulier avec les organismes intervenant dans toute la Suisse en vertu d'attributions légales, comme les assureurs sociaux, la procédure doit se dérouler dans une des langues officielles de la Confédération, en principe celle de la décision attaquée (arrêts du Tribunal fédéral 9C_7/2012 du 19 octobre 2012 consid. 1 et 9C_609/2010 du 31 août 2010 pour les caisses-maladie ; 9C_647/2015 du 1er octobre 2015 consid. 1 et 9F_5/2008 du 4 mars 2009 consid. 1 pour les caisses de pension), s’agissant tant de mémoires de recours que de déterminations (arrêt du Tribunal fédéral 8C_90/2014 du 19 décembre 2014, in SJ 2015 I 149, consid. 2.3). La chambre de céans a déjà jugé que les assureurs sociaux doivent s’adresser aux assurés et à tout le moins leur communiquer les pièces importantes du dossier dans la langue officielle de la procédure, soit, dans le canton de Genève, la langue française (art. 5 al. 1 de la Constitution de la République et canton de Genève du 14 octobre 2012 - Cst-GE - A 2 00 ; ATAS/432/2017 du 30 mai 2017 consid. 5a ; ATAS/80/2017 du 2 février 2017 consid. 8 ; cf. aussi ATF 131 V 35 ; Michel VALTERIO, Droit de l’assurance-vieillesse et survivants [AVS] et de l’assurance-invalidité [AI]. Commentaire thématique, 2011, n. 2904 s. et 2976 ss ; cf. ch. 2121 et 3007 de la Circulaire sur la procédure dans l’assurance- invalidité - CPAI). c. En l’espèce, il ne fait pas de doute que les appréciations médicales du Dr K______ des 10 août et 4 octobre 2016 auraient dû être produites dans une version française, dès l’instant où le recourant, le 9 août 2016 lors d’un téléphone s’étant déroulé en français (pce 47 SUVA), avait manifesté son désaccord avec l’intention de l’intimé de lui refuser les prestations requises, à tout le moins avant que l’intimé ne rendre la décision sur opposition attaquée. Une traduction française de ces pièces importantes, de même d’ailleurs que d’autres, a cependant été versée au dossier en cours de procédure, et – ainsi qu’il</w:t>
      </w:r>
    </w:p>
    <w:p>
      <w:r>
        <w:t>A/3798/2016 - 12/19 - l’avait requis à bon droit, sans ensuite compléter son recours avant de connaître la position de l’intimé sur le fond de son recours – le recourant a eu la possibilité de se déterminer par une réplique et même des observations après un double échange d’écritures, de même d’ailleurs qu’il a eu tout loisir de se déterminer sur l’appréciation chirurgicale (rédigée en français) de la Dre M______ annexée à la réponse au recours. Il y a eu réparation du vice affectant la procédure. Le grief soulevé à cet égard est devenu sans objet. 3. Sur le fond, le litige porte sur la question de savoir si l’intimé, en tant qu’assureur- accidents du recourant, doit fournir les prestations prévues par la LAA pour les atteintes au genou droit du recourant s’étant manifestées dès le 7 janvier 2016, mises en évidence par l’IRM du 12 janvier 2012 et l’arthroscopie diagnostique et méniscectomie interne du 15 mars 2016, consistant en une déchirure du sommet de la corne postérieure du ménisque intérieur et une deuxième déchirure au niveau de sa racine de grade III, un ménisque externe présentant une dégénérescence, un amincissement du cartilage de recouvrement du condyle interne et une dégénérescence mucoïde du ligament croisé antérieur.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b. En l’espèce, il est question de lésions ligamentaires. Il s’agit d’atteintes à la santé susceptibles de constituer un accident à des conditions moins restrictives que d’ordinaire, de par la volonté du législateur, qui a voulu éviter, au profit des assurés, que doive être faite la distinction, souvent délicate pour ce genre d’atteintes, entre accident et maladie (Ghislaine FRÉSARD-FELLAY, L’assurance- accident, in Droit suisse de la sécurité sociale, vol. II, 2015, éd. par Ghislaine FRÉSARD-FELLAY / Bettina KAHL-WOLFF / Stéphanie PERRENOUD, p. 311 ss., n. 145 ss). En effet, jusqu’au 31 décembre 2016, en vertu d’une délégation de compétence figurant à l’art. 6 al. 2 LAA, le Conseil fédéral a assimilé à un accident – donc inclus dans l’assurance-accidents – les lésions corporelles suivantes, énumérées alors exhaustivement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L’art. 6 al. 2 LAA a été modifié le 25 septembre 2015, dès le 1er janvier 2017 (RO 2016 4375 ; FF 2008 4877, 2014 7691), et l’art. 9 al. 2 OLAA précité abrogé le</w:t>
      </w:r>
    </w:p>
    <w:p>
      <w:r>
        <w:rPr>
          <w:b/>
        </w:rPr>
        <w:t>E. 9</w:t>
      </w:r>
    </w:p>
    <w:p>
      <w:r>
        <w:t>novembre 2016 dès le 1er janvier 2017 (RO 2016 4393). L’art. 6 al. 2 LAA</w:t>
      </w:r>
    </w:p>
    <w:p>
      <w:r>
        <w:t>A/3798/2016 - 13/19 - prévoit, encore plus largement, que l’assurance alloue aussi ses prestations pour les lésions corporelles suivantes, pour autant qu’elles ne soient pas dues de manière prépondérante à l’usure ou à une maladie : les fractures, les déboîtements d’articulations, les déchirures du ménisque, les déchirures de muscles, les élongations de muscles, les déchirures de tendons, les lésions de ligaments, les lésions du tympan. c.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En l’occurrence, les faits déterminants se sont produits avant l’entrée en vigueur de ce nouvel art. 6 al. 2 LAA. C’est donc au regard de la loi et de la jurisprudence applicables jusqu’au 31 décembre 2016 que le litige doit être tranché. d. Jusqu’au 31 décembre 2016, les conditions d’octroi des prestations en cas de lésions corporelles assimilées à un accident exigeaient qu’à l’exception du caractère « extraordinaire » de la cause extérieure, toutes les autres conditions constitutives de la notion d’accident fussent réalisées.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(arrêt du Tribunal fédéral 8C_815/2016 du 14 mars 2017). 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129 V 402 consid. 4.3.1 ; 119 V 335 consid. 1 ; 118 V 286 consid. 1b et les références). Les lésions assimilées à un accident, selon l’art. 9 al. 2 OLAA, le sont même si elles ont, pour l’essentiel, une origine vraisemblablement maladive ou dégénérative, pour autant qu’une cause extérieure ait, au moins, déclenché les symptômes dont souffre l’assuré (ATF 129 V 466, 123 V 43 consid. 2b).</w:t>
      </w:r>
    </w:p>
    <w:p>
      <w:r>
        <w:t>A/3798/2016 - 14/19 -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2 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 f.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w:t>
      </w:r>
    </w:p>
    <w:p>
      <w:r>
        <w:t>A/3798/2016 - 15/19 - 5. 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w:t>
      </w:r>
    </w:p>
    <w:p>
      <w:r>
        <w:t>A/3798/2016 - 16/19 - procédure de l'art. 44 LPGA ou une expertise judiciaire (ATF 135 V 465 consid. 4 ; arrêt du Tribunal fédéral 8C_923/2010 du 2 novembre 2011 consid. 5.2). c/cc.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 6. a. En l’espèce, il n’est pas contesté ni contestable que le recourant avait subi un accident le 8 février 2014, mais qu’il n’en a pas subi un le 7 janvier 2016 lorsque, ayant plié son genou droit, il a ressenti une forte douleur et qu’ont été diagnostiqués les troubles qui ont été annoncés à l’intimé comme une rechute de l’accident du 8février 2014, à savoir une déchirure du sommet de la corne postérieure du ménisque intérieur et une deuxième déchirure au niveau de sa racine de grade III, un ménisque externe présentant une dégénérescence, un amincissement du cartilage de recouvrement du condyle interne et une dégénérescence mucoïde du ligament croisé antérieur. Aucune cause extérieure n’a provoqué ces troubles. La question est dès lors de savoir si ces derniers s’inscrivent dans un rapport de causalité naturelle et adéquate avec l’accident du 8 février 2014, soit, plus précisément, dès lors qu’ils représentent des lésions assimilables à un accident, s’ils sont, au degré de la vraisemblance prépondérante, dus à l’accident du 8 février 2014, comme le prétend le recourant, ou à une usure ou une maladie, comme le retient l’intimé sur la base des appréciations de ses médecins K______ et M______. b. Comme l’intimé l’a relevé, le Dr E______, dans son rapport du 12 janvier 2016, n’a pas attribué à l’accident du 8 février 2014 les troubles révélés par les radiographies du 12 janvier 2016, nonobstant la mention qu’il a faite d’une ancienne rupture partielle du ligament croisé antérieur en relation, au demeurant, avec un aspect écarté des faisceaux dudit ligament, alors que son rapport, qui est essentiellement descriptif, atteste de plusieurs dégénérescences affectant le genou droit du recourant. De son côté, dans son courrier du 1er septembre 2016 – apparaissant comme un courrier de soutien au recourant en réaction à l’annonce de la décision qui serait prise par l’intimé –, la Dre L______, tout en relevant des troubles dégénératifs du</w:t>
      </w:r>
    </w:p>
    <w:p>
      <w:r>
        <w:t>A/3798/2016 - 17/19 - genou droit du recourant, fait référence à des douleurs invalidantes apparues en 2014. Elle ne procède cependant à aucune description des lésions survenues lors de l’accident du 8 février 2014 pour ensuite démontrer que ces lésions expliqueraient celles constatées par l’IRM du 12 janvier 2016 et l’arthroscopie du 15 mars 2016. Force est de constater que son avis n’a pas en soi de force probante supérieure à celle d’un avis exprimé par un médecin traitant. c. À l’inverse, l’appréciation chirurgicale de la Dre M______, de même que les appréciations médicales du Dr K______, expliquent de façon convaincante que l’accident du 8 février 2014 ne saurait être à l’origine des lésions survenues le 7 janvier 2016. Les examens pratiqués à la suite de l’accident du 8 février 2014 n’ont pas mis en évidence de lésion structurelle récente du genou droit du recourant, ni – point important – d’épanchement intra-articulaire, que n’aurait pas manqué de provoquer une lésion aiguë au niveau de l’articulation du genou. La description détaillée que le recourant a donnée de cet accident exclut qu’une torsion du genou fut alors survenue. Le recourant avait pu reprendre le travail à mi-temps à peine dix jours après ledit accident, et à plein temps une vingtaine de jours après celui-ci. Le recourant ne s’est pas plaint, y compris après avoir pris connaissance de ces trois appréciations médicales (en version française), d’avoir présenté des douleurs et/ou limitations à son genou droit depuis sa reprise du travail à 100 % le 3 mars 2014 au 7 janvier 2016, soit pendant près de deux ans, alors que, durant ce temps, il a exercé son activité professionnelle en soi éprouvante pour les genoux. Il est indiscutable que le recourant présentait des atteintes dégénératives à son genou droit lorsque, le 7 janvier 2016, il a ressenti une forte douleur à ce niveau, et ce après avoir simplement plié le genou. Dans ces conditions, l’explication est entièrement convaincante que le recourant présentait en janvier 2016 une usure ou un état dégénératif de son genou droit, que rien ne permet de mettre en rapport avec l’accident du 8 février 2014, mais qui explique que, subitement, sous l’effet d’un mouvement habituel et quotidien, les lésions méniscales constatées sont survenues. d. Les appréciations médicales successives des Drs K______ et M______ ne portent aucunement le sceau d’une quelconque prévention. Elles ne se trouvent nullement dépréciées du fait que lesdits médecins, au demeurant spécialistes de la discipline médicale pertinente, sont ceux de l’intimé, ni qu’ils n’ont pas ausculté personnellement le recourant, étant précisé qu’ils se sont prononcés sur la base de documents médicaux établissant les éléments d’ordre médical appropriés. e. La chambre de céans n’a pas de raison de s’écarter des conclusions desdits médecins, et il ne se justifie, par appréciation anticipée des preuves (ATF 122 II 464 consid. 4a; 122 III 219 consid. 3c), pas d’ordonner une expertise ou d’autres actes d’instruction.</w:t>
      </w:r>
    </w:p>
    <w:p>
      <w:r>
        <w:t>A/3798/2016 - 18/19 - Elle retient donc que les lésions subies par le recourant le 7 janvier 2016 et pour lesquelles il a été opéré le 15 mars 2016 sont d’origine maladie, sans lien de causalité avec l’accident du 8 février 2014. Aussi est-ce à bon droit que l’intimé a refusé de les prendre en charge et a-rendu la décision attaquée. 7. Mal fondé, le recours doit être rejeté. 8. La procédure est gratuite, le recourant n’ayant pas agi de manière téméraire ou témoigné de légèreté (art. 61 let. a LPGA). Vu l’issue du recours, le recourant n’a pas droit à une indemnité de procédure (art. 61 let. g LPGA). * * * * * *</w:t>
      </w:r>
    </w:p>
    <w:p>
      <w:r>
        <w:t>A/3798/2016 - 19/19 -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