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ATAS/661/2015 vom 3. September 2015</w:t>
      </w:r>
    </w:p>
    <w:p>
      <w:r>
        <w:t>GE Cour de justice, 2015-09-03, FR</w:t>
      </w:r>
    </w:p>
    <w:p>
      <w:r>
        <w:rPr>
          <w:b/>
        </w:rPr>
        <w:t xml:space="preserve">Quelle: </w:t>
      </w:r>
      <w:r>
        <w:t>https://mcp.opencaselaw.ch/entscheid/ge_gerichte_ATAS_661_2015</w:t>
      </w:r>
    </w:p>
    <w:p>
      <w:r>
        <w:t>FR: GE_GERICHTE ATAS/661/2015 du 3 septembre 2015</w:t>
      </w:r>
    </w:p>
    <w:p>
      <w:r>
        <w:t>IT: GE_GERICHTE ATAS/661/2015 del 3 settembre 2015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A/1964/2015 ATAS/661/2015 COUR DE JUSTICE Chambre des assurances sociales Arrêt du 3 septembre 2015 3ème Chambre</w:t>
      </w:r>
    </w:p>
    <w:p>
      <w:r>
        <w:t>En la cause A______, sise à GENÈVE recourante</w:t>
      </w:r>
    </w:p>
    <w:p>
      <w:r>
        <w:t>contre CAISSE CANTONALE GENEVOISE DE COMPENSATION, Service juridique, rue des Gares 12, GENÈVE intimée</w:t>
      </w:r>
    </w:p>
    <w:p>
      <w:r>
        <w:t>A/1964/2015 - 2/3 -</w:t>
      </w:r>
    </w:p>
    <w:p>
      <w:r>
        <w:t>Vu la décision sur opposition du 24 mai 2015 de la Caisse cantonale genevoise de compensation (ci-après la caisse) fixant le montant de la taxe professionnelle 2015 pour Cie A______ à CHF 87.- ;</w:t>
      </w:r>
    </w:p>
    <w:p>
      <w:r>
        <w:t>Vu le recours interjeté le 9 juin 2015 par Cie A______ (ci-après la recourante) ;</w:t>
      </w:r>
    </w:p>
    <w:p>
      <w:r>
        <w:t>Vu la réponse du 7 juillet 2015 de la caisse et les pièces produites ;</w:t>
      </w:r>
    </w:p>
    <w:p>
      <w:r>
        <w:t>Attendu que, par courrier du 19 août 2015, la recourante a indiqué retirer son recours ;</w:t>
      </w:r>
    </w:p>
    <w:p>
      <w:r>
        <w:t>Qu'il convient d'en prendre acte et de rayer la cause du rôle.</w:t>
      </w:r>
    </w:p>
    <w:p>
      <w:r>
        <w:t>A/1964/2015 - 3/3 -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