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ATAS/661/2010 vom 31. Mai 2010</w:t>
      </w:r>
    </w:p>
    <w:p>
      <w:r>
        <w:t>GE Cour de justice, 2010-05-31, FR</w:t>
      </w:r>
    </w:p>
    <w:p>
      <w:r>
        <w:rPr>
          <w:b/>
        </w:rPr>
        <w:t xml:space="preserve">Quelle: </w:t>
      </w:r>
      <w:r>
        <w:t>https://mcp.opencaselaw.ch/entscheid/ge_gerichte_ATAS_661_2010</w:t>
      </w:r>
    </w:p>
    <w:p>
      <w:r>
        <w:t>FR: GE_GERICHTE ATAS/661/2010 du 31 mai 2010</w:t>
      </w:r>
    </w:p>
    <w:p>
      <w:r>
        <w:t>IT: GE_GERICHTE ATAS/661/2010 del 31 maggio 2010</w:t>
      </w:r>
    </w:p>
    <w:p>
      <w:pPr>
        <w:pStyle w:val="Heading2"/>
      </w:pPr>
      <w:r>
        <w:t>Erwägungen</w:t>
      </w:r>
    </w:p>
    <w:p>
      <w:r>
        <w:rPr>
          <w:b/>
        </w:rPr>
        <w:t>E. 20</w:t>
      </w:r>
    </w:p>
    <w:p>
      <w:r>
        <w:t>Par lettre du 15 octobre 2009, l’OAI a transmis le courrier de la Dresse A___________ au Tribunal de céans comme objet de sa compétence.</w:t>
      </w:r>
    </w:p>
    <w:p>
      <w:r>
        <w:t>A/3720/2009 - 5/10 -</w:t>
      </w:r>
    </w:p>
    <w:p>
      <w:r>
        <w:rPr>
          <w:b/>
        </w:rPr>
        <w:t>E. 21</w:t>
      </w:r>
    </w:p>
    <w:p>
      <w:r>
        <w:t>Dans un pli adressé au Tribunal de céans le 21 octobre 2009, la recourante a déclaré donner procuration à la Dresse A___________ de la représenter devant le Tribunal de céans.</w:t>
      </w:r>
    </w:p>
    <w:p>
      <w:r>
        <w:rPr>
          <w:b/>
        </w:rPr>
        <w:t>E. 22</w:t>
      </w:r>
    </w:p>
    <w:p>
      <w:r>
        <w:t>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décision attaquée est datée du 7 septembre 2009 et a été envoyée par l'OAI à une date inconnue, mais au plus tôt le même jour. Par conséquent, le recours interjeté le 9 septembre 2009 et reçu par l'OAI le 14 septembre 2009 qui l'a transmis au Tribunal de céans pour objet de sa compétence, par un représentant dûment autorisé (art. 37 LPGA), en la forme prescrite est recevable (art. 38 al. 3, 56 et 60 LPGA). 3. Le litige porte sur le droit de l'assurée à obtenir le maintien d'une rente entière d'invalidité en lieu et place d'un trois-quart de rente dès août 2007. 4. En vertu de l'art. 28 al. 1 LAI, l'assuré a droit à une rente entière s'il est invalide à 70% au moins, à un trois quarts de rente s'il est invalide à 60% au moins, à une demi-rente s'il est invalide à 50% au moins, ou à un quart de rente s'il est invalide à 40% au moins.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w:t>
      </w:r>
    </w:p>
    <w:p>
      <w:r>
        <w:t>A/3720/2009 - 6/10 - l'intéressé dans des activités raisonnablement exigibles (ATF 115 V 133 consid. 2 ; 105 V 158 consid.1).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395 consid. 3.3 et ATF 104 V 136 consid. 2a). 5. a) Pour évaluer l'invalidité des assurés travaillant dans le ménage, l'administration procède à une enquête sur les activités ménagères et fixe l'empêchement dans chacune des activités habituelles conformément aux chiffres 3096 et suivants de la Circulaire sur l'invalidité et l'impotence dans l'assurance-invalidité (CIIAI).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w:t>
      </w:r>
    </w:p>
    <w:p>
      <w:r>
        <w:t>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w:t>
      </w:r>
    </w:p>
    <w:p>
      <w:r>
        <w:t>A/3720/2009 - 7/10 -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Dans un arrêt du 22 décembre 2003, publié dans la VSI 2004 p. 137, le Tribunal fédéral des assurances a considéré qu'en cas d'atteinte à la santé psychique, l'enquête sur les activités ménagères est un moyen de preuve approprié pour évaluer l'invalidité de ces personnes. Toutefois, en cas de divergences entre les résultats de l'enquête économique sur le ménage et les constatations d'ordre médical relatives à la capacité d'accomplir les travaux habituels, celles-ci ont, en règle générale, plus de poids que l'enquête à domicile. Pour cela, il faut que les rapports médicaux en cause aient valeur probante au sens de la jurisprudence, à savoir notamment que les points litigieux aient fait l'objet d'une étude circonstanciée, que les rapports se fondent sur des examens complets et que les conclusions des experts soient dûment motivées (ATFA non publié I 639/04 du 17 janvier 2006, consid. 2.3 et 3.1). c)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 2005 et</w:t>
      </w:r>
    </w:p>
    <w:p>
      <w:r>
        <w:t>A/3720/2009 - 8/10 -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6. a) En l'espèce, la recourante laisse implicitement entendre que, sans atteinte à sa santé, la part de son activité professionnelle aurait été de 100% et que, par conséquent, il n'y aurait pas lieu d'évaluer son invalidité selon la méthode mixte.</w:t>
      </w:r>
    </w:p>
    <w:p>
      <w:r>
        <w:t>b) La décision de l'OAI de retenir que, sans atteinte à sa santé, l'assurée n'aurait travaillé qu'à 50% dès mai 2007 et, partant, que la part des travaux habituels aurait été de 50% n'est pas critiquable.</w:t>
      </w:r>
    </w:p>
    <w:p>
      <w:r>
        <w:t>En effet, il ressort du rapport sur l’enquête ménagère du 13 octobre 2008 que, selon les déclarations de la recourante, depuis mai 2007, soit 6 mois après la naissance de sa fille, elle n'aurait repris une active qu'à 50%.</w:t>
      </w:r>
    </w:p>
    <w:p>
      <w:r>
        <w:t>De plus, c'est ce même taux que l'assurée a expressément indiqué dans le questionnaire servant à déterminer le statut d’assuré.</w:t>
      </w:r>
    </w:p>
    <w:p>
      <w:r>
        <w:t>La Tribunal de céans prendra dès lors en compte une répartition de 50% pour la part de l'activité professionnelle de l'assurée et, par conséquent, de 50% pour la part des travaux habituels. 7. a) La recourante critique ensuite le calcul du taux de l'invalidité, en considérant que, si elle est totalement invalide dans son activité professionnelle et que le taux d’invalidité dans son activité ménagère est de 20%, l’invalidité totale devrait être de 70% et non 60%. En revanche, elle ne remet pas en cause les conclusions de l'enquête ménagère, qui retient une invalidité de 20% dans les activité ménagères. b) Ce grief est mal fondé. En effet, sachant qu'il convient d'évaluer l'invalidité de la recourante selon la méthode mixte et que la part des activité ménagère représente 50%, une invalidité de 20% dans les activité ménagères représente au final une invalidité de 10% (20% de 50%). Ajoutée à l'invalidité de 100% dans les activités professionnelles de 50%, ce qui représente au final une invalidité de 50% (100% de 50%), l'on parvient bien à un taux d'invalidité total de 60%. Ainsi, le degré d'invalidité global de la recourante est inférieur à 70% et donc insuffisant pour maintenir le droit à une rente entière à compter du mois d'août</w:t>
      </w:r>
    </w:p>
    <w:p>
      <w:r>
        <w:t>A/3720/2009 - 9/10 - 2007, soit trois mois après son changement de statut (50% activité lucrative et 50% activité ménagère) intervenu six mois après la naissance de sa fille. 8. Il résulte de ce qui précède que le recours sera rejeté et la décision attaquée confirmée.</w:t>
      </w:r>
    </w:p>
    <w:p>
      <w:r>
        <w:t>A/3720/2009 - 10/10 -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