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ATAS/660/2025 vom 27. August 2025</w:t>
      </w:r>
    </w:p>
    <w:p>
      <w:r>
        <w:t>GE Cour de justice, 2025-08-27, FR</w:t>
      </w:r>
    </w:p>
    <w:p>
      <w:r>
        <w:rPr>
          <w:b/>
        </w:rPr>
        <w:t xml:space="preserve">Quelle: </w:t>
      </w:r>
      <w:r>
        <w:t>https://mcp.opencaselaw.ch/entscheid/ge_gerichte_ATAS_660_2025</w:t>
      </w:r>
    </w:p>
    <w:p>
      <w:r>
        <w:t>FR: GE_GERICHTE ATAS/660/2025 du 27 août 2025</w:t>
      </w:r>
    </w:p>
    <w:p>
      <w:r>
        <w:t>IT: GE_GERICHTE ATAS/660/2025 del 27 agosto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l’intimée de prendre en charge les frais de recouvrement liés à la facture établie le 17 octobre 2023 par Swisscom en lien avec des analyses effectuées par C ______ le 5 octobre 2023.</w:t>
      </w:r>
    </w:p>
    <w:p>
      <w:r>
        <w:rPr>
          <w:b/>
        </w:rPr>
        <w:t>E. 3</w:t>
      </w:r>
    </w:p>
    <w:p>
      <w:r>
        <w:t>L'art. 42 LAMal règle les modalités de facturation et définit le débiteur de la prestation. Selon cette disposition,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w:t>
      </w:r>
    </w:p>
    <w:p>
      <w:r>
        <w:t>A/4274/2024 - 8/10 - droit peut être cédé au fournisseur de prestations (al. 1). Assureurs et fournisseurs de prestations peuvent convenir que l’assureur est le débiteur de la rémunération (système du tiers payant). Selon l'art. 64 LAMal, les assurés participent aux coûts des prestations dont ils bénéficient (al. 1). Leur participation comprend un montant fixé par année (franchise) ; et 10% des coûts qui dépassent la franchise (quote-part) (al. 2 let. a et b). Selon la jurisprudence du Tribunal fédéral,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Comme dans le cas d'une reprise de dette au sens de l'art. 175 ss CO, le système du tiers payant suppose l'existence d'une reprise de dette interne et d'une reprise de dette externe.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Par le choix du système de rémunération, l'assureur remplace l'assuré dans la relation contractuelle qui l'unit au fournisseur de prestations (reprise de dette externe, art. 176 al. 1 CO ; ATF 141 V 546 consid. 5.2 et les références). Il découle de ce système que le contrat passé entre l'assureur et l'assuré, soit la reprise de dette interne, constitue pour le créancier une res inter alios acta. Par conséquent, l'assureur ne peut pas opposer au fournisseur de prestations les exceptions qu'il aurait pu avoir à l'encontre de l'assuré (ATF 141 V 546 consid. 5.3 et les références). Le système du tiers payant offre ainsi la garantie au fournisseur de prestations qu'il sera remboursé par l'assureur en cas d'exécution de ses obligations conforme à la convention (ATF 141 V 546 consid. 6.2.2). Dans un arrêt publié, le Tribunal fédéral a relevé que les intérêts de l'assureur ne sont pas pour autant mis en danger dans la mesure où, après le paiement des factures au fournisseur des prestations, il lui reste la possibilité de se retourner contre l'assuré qui aurait violé ses obligations contractuelles (ATF 141 V 546 consid. 8.3). Dans le système du tiers payant, l’assuré envoie les factures à son assureur ou ce dernier les reçoit directement du fournisseur de prestations. L’assureur est alors tenu d’indemniser la personne qui fournit les prestations (ATF 132 V 18 consid. 5.2).</w:t>
      </w:r>
    </w:p>
    <w:p>
      <w:r>
        <w:rPr>
          <w:b/>
        </w:rPr>
        <w:t>E. 3.1</w:t>
      </w:r>
    </w:p>
    <w:p>
      <w:r>
        <w:t>En l'espèce, le recourant a été affilié auprès de l'intimée, qui agissait en tant qu'assurance-maladie obligatoire. Jusqu’en mars 2024, celle-ci intervenait selon le système du tiers garant qui était applicable, ce que le recourant ne conteste pas, puisqu’il indiquait lui-même dans son courrier du 3 avril 2023 que c’était lui qui</w:t>
      </w:r>
    </w:p>
    <w:p>
      <w:r>
        <w:t>A/4274/2024 - 9/10 - devait payer les factures et non l’assurance et qu’il a demandé le 6 mars 2024 à l’intimée de passer au système de tiers payant dès ce jour. Dès lors, tant que le système du tiers garant était en vigueur, il était le destinataire principal des factures ainsi que des rappels, et seul responsable de ceux-ci et des frais de recouvrement liés à des factures impayées, les dispositions légales réglementant l’assurance obligatoire des soins ne prévoyant pas de participation pour ce genre de coûts. Il en résulte que c’est à juste titre que l’intimée a refusé de payer le montant de CHF 275.81 relatifs à l’engagement de la poursuite en cas de non-paiement par Creditreform et, de manière générale les frais liés aux versements tardifs des factures adressées au recourant par les fournisseurs de prestations jusqu’en mars 2024. Il sera néanmoins relevé que l’intimée a accepté, le 12 mars 2024, de payer les frais de rappel de CHF 20.-, liés à la facture d’Unilabs qui avait été adressée au recourant le 14 novembre 2023.</w:t>
      </w:r>
    </w:p>
    <w:p>
      <w:r>
        <w:rPr>
          <w:b/>
        </w:rPr>
        <w:t>E. 4</w:t>
      </w:r>
    </w:p>
    <w:p>
      <w:r>
        <w:t>Infondé, le recours sera rejeté. La procédure est gratuite (art. 61 let. fbis a contrario LPGA).</w:t>
      </w:r>
    </w:p>
    <w:p>
      <w:r>
        <w:t>A/4274/2024 - 10/10 -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