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ATAS/660/2022 vom 15. Juli 2022</w:t>
      </w:r>
    </w:p>
    <w:p>
      <w:r>
        <w:t>GE Cour de justice, 2022-07-15, FR</w:t>
      </w:r>
    </w:p>
    <w:p>
      <w:r>
        <w:rPr>
          <w:b/>
        </w:rPr>
        <w:t xml:space="preserve">Quelle: </w:t>
      </w:r>
      <w:r>
        <w:t>https://mcp.opencaselaw.ch/entscheid/ge_gerichte_ATAS_660_2022</w:t>
      </w:r>
    </w:p>
    <w:p>
      <w:r>
        <w:t>FR: GE_GERICHTE ATAS/660/2022 du 15 juillet 2022</w:t>
      </w:r>
    </w:p>
    <w:p>
      <w:r>
        <w:t>IT: GE_GERICHTE ATAS/660/2022 del 15 luglio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t>A/239/2021 - 5/16 -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Le litige porte sur le droit du recourant à des prestations de la part de l’intimé, étant rappelé que ce dernier lui a nié le droit à une rente, par décision du</w:t>
      </w:r>
    </w:p>
    <w:p>
      <w:r>
        <w:rPr>
          <w:b/>
        </w:rPr>
        <w:t>E. 10</w:t>
      </w:r>
    </w:p>
    <w:p>
      <w:r>
        <w:t>février 2005, puis a refusé d’entrer en matière sur la nouvelle demande, par décision du 7 septembre 2009. 6. Lorsque l’administration entre en matière sur une nouvelle demande, après avoir nié le droit à une prestation (cf. art. 87 al. 3 du règlement sur l’assurance-invalidité du 17 janvier 1961 [RAI – RS 831.201]), l’examen matériel doit être effectué de manière analogue à celui d'un cas de révision au sens de l'art. 17 al. 1 LPGA (ATF 133 V 108 consid. 5 et les références ; ATF 130 V 343 consid. 3.5.2 et les références ; ATF 130 V 71 consid. 3.2 et les références ; cf. arrêt du Tribunal fédéral 9C_899/2015 du 4 mars 2016 consid. 4.1 et les références).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w:t>
      </w:r>
    </w:p>
    <w:p>
      <w:r>
        <w:t>A/239/2021 - 6/16 -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et 28a al. 1 LAI).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Conformément aux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6.2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w:t>
      </w:r>
    </w:p>
    <w:p>
      <w:r>
        <w:t>A/239/2021 - 7/16 - déterminés par rapport à un même moment et les modifications de ces revenus susceptibles d'influencer le droit à la rente survenues jusqu'au moment où la décision est rendue doivent être prises en compte (ATF 129 V 222 et ATF 128 V 174).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w:t>
      </w:r>
    </w:p>
    <w:p>
      <w:r>
        <w:t>A/239/2021 - 8/16 -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A/239/2021 - 9/16 - pertinents pour remettre en cause les conclusions de l'expert (arrêt du Tribunal fédéral 8C_755/2020 du 19 avril 2021 consid. 3.2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9. En l’espèce, la décision dont est recours repose sur les avis du SMR des 7 janvier et 21 décembre 2020, aux termes desquels la capacité de travail du recourant étant nulle dans l’activité habituelle depuis le 22 mai 2019 en raison d’une gonarthrose bilatérale et de troubles dégénératifs et statiques du rachis lombaire, mais entière avec une diminution de rendement de 25 % dans un métier adapté dès le</w:t>
      </w:r>
    </w:p>
    <w:p>
      <w:r>
        <w:rPr>
          <w:b/>
        </w:rPr>
        <w:t>E. 13</w:t>
      </w:r>
    </w:p>
    <w:p>
      <w:r>
        <w:t>septembre 2019, soit trois mois après la dernière opération. À cet égard, le SMR a notamment rappelé que l’intéressé avait été opéré du côté droit en 2016 et à plusieurs reprises du côté gauche, la dernière fois le 13 juin 2019. Les limitations fonctionnelles retenues concernaient le travail accroupi ou à genoux, la répétition d’escaliers ou d’échelles, la marche et la station debout prolongées, le port de charges de plus de 10 kg, les mouvements en porte-à-faux du tronc, le travail dans une ambiance bruyante, et l’intéressé devait pouvoir alterner les positions. 9.1 En ce qui concerne les atteintes à la santé, la chambre de céans constate que les diagnostics retenus par le SMR sont conformes à ceux posés par les différents médecins ayant examiné le recourant et qu’ils tiennent compte des résultats radiologiques. 9.1.1 En effet, au niveau des genoux, il ressort des pièces du dossier que les radiographies du 20 février 2019 ont révélé une gonarthrose modérée du</w:t>
      </w:r>
    </w:p>
    <w:p>
      <w:r>
        <w:t>A/239/2021 - 10/16 - compartiment interne à prédominance gauche (cf. rapport du 20 février 2019 du Centre Imagerie Servette) et l’IRM du genou gauche du 5 mars 2019 un flap méniscal au niveau de la corne postérieure du ménisque interne et une gonarthrose tricompartimentale prédominant en fémoro-tibial interne, avec à ce niveau également une lésion ostéochondrale du condyle fémoral de taille centimétrique (rapport du 5 mars 2019 du Centre Imagerie Servette). Une arthroscopie du genou gauche a été réalisée le 13 juin 2019, dont les suites ont été simples (cf. rapport du 28 novembre 2019 du Dr E______). En raison de la persistance de gonalgies bilatérales depuis environ une année (cf. rapport du 1er juillet 2020 des HUG), une IRM des genoux a été pratiquée à la fin du mois de juin 2020, laquelle a mis en exergue une chondropathie de grade 4 avec une dénudation du cartilage du tibia interne gauche et un œdème de l’os sous-chondral en regard, une chondropathie de grade 4 du condyle fémoral interne gauche avec une chondrostéophyte, et une chondropathie de grade 3 de la patella droite (cf. rapport du 30 juin 2020). Le Dr C______ a retenu le diagnostic de gonarthrose sévère gauche (cf. rapport du 27 septembre 2019), le Dr E______ a constaté que les examens concluaient à une gonarthrose modérée du compartiment interne à prédominance gauche, à un discret remaniement dégénératif débutant coxo-fémoral des deux côtés et fémoro- tibial interne à gauche (cf. rapport du 28 novembre 2019) et les spécialistes des HUG ont noté une gonarthrose modérée du compartiment interne, bilatéralement à prédominance gauche, sur des genoux en varus et une obésité (cf. rapport du 1er décembre 2020). Dans ces conditions, le diagnostic de gonarthrose bilatérale retenu par le SMR n’apparaît pas critiquable. À toutes fins utiles, la chambre de céans observera que le fait que le SMR n’ait pas expressément mentionné le remaniement dégénératif coxo-fémoral est sans incidence aucune, dès lors que ce trouble est « discret » et « débutant » (cf. rapport de radiographies des membres inférieurs du 13 septembre 2019), et qu’il n’a aucune incidence sur la capacité de travail, selon les rapports du médecin traitant. Le recourant ne soutient d’ailleurs pas le contraire. 9.1.2 Au niveau du rachis, le recourant a produit, dans le cadre de la présente procédure, de nombreux rapports d’examens réalisés entre 2001 et 2014, qui ne paraissent pas tous avoir été soumis au SMR. Les différentes investigations ont pour l’essentiel révélé une scoliose à convexité gauche (cf. rapports de radiographie des 14 novembre 2001 et 1er juillet 2009 ; rapport d’IRM du 15 octobre 2009), une dégénérescence discale C5-C6 et C6-C7, et une protrusion discale C6-C7 (cf. rapport d’IRM du 15 octobre 2009), une dessiccation discale débutante C5-C6, un débord discal circonférentiel et une discopathie circonférentielle C5-C6 (cf. rapport d’IRM du 3 novembre 2014), un discret rétrolisthésis de C2 à C4 (cf. rapport de radiographie du</w:t>
      </w:r>
    </w:p>
    <w:p>
      <w:r>
        <w:rPr>
          <w:b/>
        </w:rPr>
        <w:t>E. 14</w:t>
      </w:r>
    </w:p>
    <w:p>
      <w:r>
        <w:t>novembre 2001), un aspect légèrement cunéiforme de L2, une discrète sclérose</w:t>
      </w:r>
    </w:p>
    <w:p>
      <w:r>
        <w:t>A/239/2021 - 11/16 - de surcharge des facettes articulaires postérieures en L4-L5 et L5-S1 (cf. rapport de radiographie du 1er juillet 2009), une protrusion discale L4-L5 et une discrète sclérose de surcharge (cf. rapport d’IRM du 15 octobre 2009), une discrète séquelle d’une maladie de Scheuermann à la hauteur de D11-D12 (cf. rapports d’IRM des 8 octobre 2003 et 15 octobre 2009). Il appert donc que le recourant présente plusieurs troubles dégénératifs et statiques, non seulement au niveau lombaire comme mentionné par le SMR, mais également aux niveaux dorsal et cervical. Cela étant, il est rappelé qu’à l’époque de la décision initiale rendue par l’intimé le 10 février 2005, le recourant souffrait déjà de lombalgies chroniques secondaires à des troubles statiques et dégénératifs (séquelle de la maladie de Scheuermann), et de dorsalgies sur des cervicalgies lors de surcharge mécanique (trouble statique C2, C3 et C4) (cf. rapport du 2 décembre 2004 du docteur Yves-Bernard JACCARD, spécialiste FMH en rhumatologie). Le fait que le SMR n’ait pas rappelé les troubles statiques de C2 à C4, tout comme le fait qu’il n’ait peut-être pas eu connaissance des troubles dégénératifs constatés aux étages C5-C6, C6-C7, L4-L5 et L5-S1, ne remet pas en cause la validité de son appréciation. En effet, il est rappelé qu’entre 2014 et le prononcé de la décision litigieuse, le recourant n’a pas consulté de spécialiste pour ses douleurs dorsales, ni ne s’est soumis au moindre examen. De plus, l’incapacité de travail qui a débuté le 29 mai 2019 a été motivée par une recrudescence des douleurs au genou gauche (cf. rapport du 28 novembre 2019 du Dr E______). Le médecin traitant de l’intéressé n’a signalé que des gonalgies, sans mention aucune des troubles du rachis, même pas à titre de diagnostics sans influence sur la capacité de travail (cf. rapports des 27 septembre 2019 et 8 décembre 2020 du Dr C______). De même, le Dr E______ n’a pas relaté de plaintes concernant le rachis (cf. rapport du 28 novembre 2019). Ces médecins n’ont d’ailleurs retenu que des restrictions liées aux atteintes des genoux. Enfin, le recourant a motivé sa troisième demande de prestations par l’arthrose des genoux et a contesté le projet de décision de l’intimé en invoquant ses seuls « problèmes du genou » (cf. courrier du 8 décembre 2020). 9.2 S’agissant de l’évaluation de la capacité de travail et des limitations fonctionnelles, la chambre de céans ne relève aucun élément permettant de douter du bien-fondé de l’appréciation du SMR, corroborée par les pièces du dossier. 9.2.1 Ainsi, le médecin-conseil de l’assureur perte de gain est parvenu à des conclusions similaires, si ce n’est qu’il n’a pas retenu de restrictions spécifiques en lien avec les troubles du rachis, puisqu’il a conclu que l’intéressé ne devait ni porter des charges de plus de 10 kg, ni travailler en positions accroupie, à genoux ou en équilibre instable sur des échelles ou des échafaudages, mais que la capacité de travail était entière dès le jour de son examen dans une activité respectant ces contre-indications (cf. rapport du 28 novembre 2019 du Dr E______). D’ailleurs, sur la base de cette évaluation, l’assureur perte de gain a considéré que l’exercice</w:t>
      </w:r>
    </w:p>
    <w:p>
      <w:r>
        <w:t>A/239/2021 - 12/16 - d’une activité adaptée était exigible à temps complet et a accordé à l’intéressé une indemnité journalière de transition pour le changement d’occupation jusqu’au 31 mars 2020 (cf. décision du 4 décembre 2019). Les rapports du Dr C______, qui se limitent à affirmer que le patient est totalement inapte à tout travail en raison de ses gonalgies invalidantes (cf. rapports des 27 septembre 2019 et 8 décembre 2020), n’apportent pas le moindre argument justifiant de s’écarter des conclusions du SMR. D’ailleurs, le médecin traitant a décrit des limitations fonctionnelles d’épargne des genoux et considéré que le pronostic de réadaptation était mauvais en raison d’une maîtrise limitée de la langue et d’un manque de connaissances dans d’autres domaines, ce qui n’est pas pertinent pour l’évaluation de la capacité de travail résiduelle. Ses rapports n’exposent en particulier pas les raisons pour lesquelles les troubles dont souffre le recourant l’empêcheraient d’exercer un métier respectant les contre-indications énumérées par le SMR. Enfin, il sera observé que le Dr D______, consulté en raison de la gonarthrose douloureuse, a conclu à une capacité de travail de 100 % dans une activité adaptée (cf. rapport du 30 septembre 2019). 9.2.2 À cet égard encore, il sera rappelé que l’intimé a mis en œuvre deux nouvelles mesures d’ordre professionnel suite à la dernière demande de prestations. Au terme de la première, qui s’est déroulée du 13 janvier au 22 mars 2020 auprès de l’OSEO, aucun projet professionnel n’a été validé car les pistes de contrôleur de parking, de concierge, et de magasinier-vendeur-livreur en magasin d’électricité ont été écartées en raison des limitations fonctionnelles. Diverses propositions d’action ont alors été émises, dont une mesure de réadaptation aux EPI (cf. rapport d’OSEO du 13 mai 2020). Cette mesure a été réalisée du 27 juillet au 23 août 2020. Il y a été constaté que la position assise était maintenue durablement, mais que la position debout statique n’était tenue que 45 minutes. Au-delà, des alternances avec la position assise étaient nécessaires. La position debout dynamique était supportée un peu plus longtemps, mais les alternances restaient indispensables. La mobilisation des membres supérieurs était entière, la dextérité correcte dans les activités n’exigeant pas une précision trop importante. Le domaine retenu était celui de l’industrie légère et du conditionnement (cf. un rapport des EPI du 17 septembre 2020). On perçoit donc mal pour quel motif le recourant ne pourrait pas exercer une telle activité légère compatible avec les restrictions retenues par le SMR. 9.3 Dans le cadre de la présente procédure, le recourant a produit plusieurs documents établis après le prononcé de la décision litigieuse. 9.3.1 Concernant ses troubles aux genoux, il a communiqué des rapports d’infiltration, la première réalisée à gauche le 19 février 2021 et la seconde à droite le 24 février 2021.</w:t>
      </w:r>
    </w:p>
    <w:p>
      <w:r>
        <w:t>A/239/2021 - 13/16 - Bien que postérieurs à la décision litigieuse, ces documents peuvent être pris en considération, dès lors que les atteintes qui ont justifié lesdites interventions existaient déjà à l’époque déterminante. Force est toutefois de constater qu’ils ne contiennent aucun élément permettant de douter des conclusions du SMR, rendues alors que la situation était stable (cf. rapport du 1er décembre 2020 des HUG), étant encore observé que l’intéressé avait déjà bénéficié de plusieurs infiltrations au genou gauche, dont une d’acide hyaluronique en juin 2020 sans effet bénéfique, et une de cortisone en juillet 2020 avec une amélioration de l’ordre de 50 % (cf. notes de suite des consultations et rapport du 1er décembre 2020 des HUG). 9.3.2 Le recourant a également communiqué un rapport du 30 septembre 2021 relatif à une IRM cervicale réalisée la veille, examen qui a conclu à une discrète spondylodiscopathie étagée de la colonne cervicale et à un discret rétrécissement foraminal à droite en C5-C6. Il n’y a pas lieu de tenir compte de ce rapport, dans la mesure où il concerne des investigations menées plus de huit mois après le prononcé de la décision litigieuse et qui n’ont pas été préalablement suggérées. Il sera rappelé à cet égard que les derniers examens remontaient à 2014 selon les documents produits, et qu’aucune pièce ne rapporte des plaintes concernant le rachis à l’époque de la troisième demande de prestations, ni pendant l’instruction du dossier par l’intimé. 9.3.3 Enfin, le recourant a communiqué de nombreux rapports concernant des troubles au niveau de l’épaule droite (cf. rapports d’échographie du 17 avril 2021, d’IRM du 25 mai 2021, de radiographies des 17 juin et 14 septembre 2021, d’infiltrations des 25 juin et 23 septembre 2021). Il s’agit manifestement d’une atteinte survenue après le prononcé de la décision du 18 janvier 2021, comme attesté par le rapport d’échographie du 23 avril 2021 qui fait état d’une chute à moto le 17 avril 2021 avec des douleurs persistantes, ainsi que par le rapport du 13 décembre 2021 du docteur F______, spécialiste FMH en rhumatologie, lequel a mentionné la persistance de douleurs de l’épaule droite et du bras droit depuis l’accident de moto du 17 avril 2021 et préconisé une évaluation neurologique et une échographie du poignet droit. 9.4 Eu égard à tout ce qui précède, la chambre de céans tiendra pour établi, au degré de la vraisemblance prépondérante requis, que le recourant ne peut plus exercer depuis le 22 mai 2019 son activité habituelle d’aide-monteur électricien en raison d’une gonarthrose bilatérale et de troubles dégénératifs et statiques du rachis, mais qu’une activité adaptée aux limitations fonctionnelles décrites par le SMR est exigible à temps complet depuis le 13 septembre 2019, avec une réduction de rendement de 25 %, étant rappelé qu’il ne lui appartient pas de se déterminer sur des faits postérieurs à la date de la décision litigieuse. 9.5 En ce qui concerne le degré d’invalidité, la chambre de céans rappellera tout d’abord que l’intimé a admis qu’une modification notable des circonstances</w:t>
      </w:r>
    </w:p>
    <w:p>
      <w:r>
        <w:t>A/239/2021 - 14/16 - s’était produite depuis la première décision de refus de rente du 10 février 2005, et qu’il a ainsi procédé à un nouveau calcul du degré d'invalidité. 9.5.1 Bien que le recourant n’ait fait valoir aucun grief à l’encontre de cette évaluation, la chambre de céans observera ce qui suit. Pour fixer le revenu avec invalidité (CHF 51'252.-), l’intimé s’est référé aux ESS 2018, TA1_tirage_skill_level et a retenu un montant mensuel de CHF 5'417.- (ligne « total », niveau de compétences 1, hommes), qu’il a ensuite annualisé, adapté à la durée normale hebdomadaire du travail et à l’évolution des salaires pour 2019 (cf. détermination du degré d’invalidité du 25 mars 2000). Or, l’année de naissance du droit à la rente est 2020, de sorte que le gain annuel aurait dû être fixé à CHF 68'906.10 et non CHF 68'336.-, compte tenu des indices déterminants (2260 pour 2018 et 2298 pour 2020 [à la place de 2279 pour 2019]). L’intimé n’a pas appliqué d’abattement, mais il a tenu compte d’une diminution de rendement de 25 % en raison des limitations fonctionnelles, qui concernent essentiellement les deux genoux et dans une moindre mesure le rachis. L’ensemble des circonstances personnelles et professionnelles du cas ne justifie pas de retenir une réduction supplémentaire, étant rappelé que l'étendue de l'abattement ressortit en premier lieu à l'administration, qui dispose pour cela d'un large pouvoir d'appréciation. Le revenu d’invalide s’élève donc à CHF 51'679.60. S’agissant du revenu sans invalidité (CHF 45'681.-), l’intimé a indiqué l’avoir déterminé sur la base du dernier salaire communiqué par l’employeur pour 2018 (cf. détermination du degré d’invalidité du 25 mars 2000). Toutefois, l’employeur a mentionné dans ledit document un salaire horaire de CHF 27.85, un 13ème salaire ou gratification de 8.33 %, et un horaire de travail 40 heures par semaine, sans précision quant au droit aux vacances. Il a noté que le recourant avait perçu, en 2018, un salaire annuel de CHF 44'440.25, correspondant à 1'241 heures de travail par année. La somme de ces deux chiffres par l’intimé pour fixer le salaire annuel est donc erronée, le second ne correspondant pas à une prestation pécuniaire. La chambre de céans relèvera encore que le salaire versé en 2018 est très inférieur à celui de 2017 (CHF 57'837.60). Il semblerait, à teneur des annexes communiquées par l’employeur, que le recourant a été absent de nombreux jours en 2018, à concurrence de 232 heures pour cause d’accident et de 288 heures pour cause de maladie, ce qui pourrait expliquer la diminution importante de son revenu entre 2017 et 2018. Cela étant, même en retenant le revenu annuel de CHF 57'837.60 perçu en 2017, indexé à CHF 59'097.75 pour 2020 (indices de 2249 pour 2017 et 2298 pour 2020), il en résulterait une perte de gain de CHF 7'418.15 correspondant à un degré d’invalidité de 13 %, insuffisant pour ouvrir le droit à une rente. 9.5.2 Partant, la chambre de céans ne peut que constater que l’intimé était fondé à nier le droit du recourant à une rente d’invalidité.</w:t>
      </w:r>
    </w:p>
    <w:p>
      <w:r>
        <w:t>A/239/2021 - 15/16 - 10. Au vu de ce qui précède, le recours sera rejeté et le recourant condamné au paiement d'un émolument de CHF 200.- (art. 69 al.1bis LAI). * * * * * *</w:t>
      </w:r>
    </w:p>
    <w:p>
      <w:r>
        <w:t>A/239/2021 - 16/16 -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