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ATAS/660/2020 vom 18. August 2020</w:t>
      </w:r>
    </w:p>
    <w:p>
      <w:r>
        <w:t>GE Cour de justice, 2020-08-18, FR</w:t>
      </w:r>
    </w:p>
    <w:p>
      <w:r>
        <w:rPr>
          <w:b/>
        </w:rPr>
        <w:t xml:space="preserve">Quelle: </w:t>
      </w:r>
      <w:r>
        <w:t>https://mcp.opencaselaw.ch/entscheid/ge_gerichte_ATAS_660_2020</w:t>
      </w:r>
    </w:p>
    <w:p>
      <w:r>
        <w:t>FR: GE_GERICHTE ATAS/660/2020 du 18 août 2020</w:t>
      </w:r>
    </w:p>
    <w:p>
      <w:r>
        <w:t>IT: GE_GERICHTE ATAS/660/2020 del 18 agosto 2020</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60 LPGA ; art. 62 al. 1 de la loi sur la procédure administrative du 12 septembre 1985 [LPA - E 5 10]). Interjeté dans la forme et le délai prévus par la loi, et les conclusions de la recourante pouvant être en l’occurrence comprises malgré leur formulation succincte (art. 61 let. b LPGA ; art. 89B al. 1 let. c LPA), le recours est recevable (art. 56 ss LPGA et 62 ss LPA).</w:t>
      </w:r>
    </w:p>
    <w:p>
      <w:r>
        <w:rPr>
          <w:b/>
        </w:rPr>
        <w:t>E. 3</w:t>
      </w:r>
    </w:p>
    <w:p>
      <w:r>
        <w:t>Le présent litige porte sur le droit de la recourante à une rente d'invalidité.</w:t>
      </w:r>
    </w:p>
    <w:p>
      <w:r>
        <w:rPr>
          <w:b/>
        </w:rPr>
        <w:t>E. 4</w:t>
      </w:r>
    </w:p>
    <w:p>
      <w:r>
        <w:t>a. Aux termes des art. 8 al. 1 LPGA et 4 al. 1 LAI, est réputée invalidité l'incapacité de gain totale ou partielle qui est présumée permanente ou de longue durée, résultant d'une infirmité congénitale, d'une maladie ou d'un accident. À teneur de l'art. 4 al. 2 LPGA, l'invalidité est réputée survenue dès qu'elle est, par sa nature et sa gravité, propre à ouvrir droit aux prestations entrant en considération. Conformément à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L'art. 6 LPGA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A/4687/2019 - 7/12 - b.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non applicable ici vu la méthode spécifique d'évaluation de l'invalidité) ; au terme de cette année, il est invalide (art. 8 LPGA) à 40 % au moins (let. c). L'al. 2 de cette disposition légale prescrit que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c.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 D'après la jurisprudence – et comme cela découle de l’art. 7 LAI –,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 e. Conformément à l’art. 27bis al. 2 du règlement du 17 janvier 1961 sur l’assurance-invalidité du 17 janvier 1961 (RAI - RS 831.201), pour les personnes qui exercent une activité lucrative à temps partiel et accomplissent par ailleurs des travaux habituels visés à l’art. 7 al. 2 LAI, le taux d’invalidité est déterminé par l’addition des taux suivants : a. le taux d’invalidité en lien avec l’activité lucrative ; b. le taux d’invalidité en lien avec les travaux habituels.</w:t>
      </w:r>
    </w:p>
    <w:p>
      <w:r>
        <w:rPr>
          <w:b/>
        </w:rPr>
        <w:t>E. 5</w:t>
      </w:r>
    </w:p>
    <w:p>
      <w:r>
        <w:t>Le juge des assurances sociales fonde sa décision, sauf dispositions contraires de la loi, sur les faits qui, faute d'être établis de manière irréfutable, apparaissent comme</w:t>
      </w:r>
    </w:p>
    <w:p>
      <w:r>
        <w:t>A/4687/2019 - 8/12 -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A/4687/2019 - 9/12 -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U 216/04 du 21 juillet 2005 consid. 5.2).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w:t>
      </w:r>
    </w:p>
    <w:p>
      <w:r>
        <w:t>a. En l’espèce, après examen d’un rapport présenté juste avant le prononcé de la décision querellée (le rapport après l’IRM de l’épaule droite du 20 août 2019) et de deux nouveaux rapports médicaux produits par la recourante avec son complément de recours (le rapport du Dr G______ du 21 octobre 2019 et l’avis de sortie des HUG du 12 décembre 2019), le SMR a, le 19 février 2020, révisé sa précédente appréciation du 24 octobre 2019 (qui retenait une capacité de travail nulle dans l’activité – lucrative – habituelle mais entière dans une activité adaptée) et a admis une capacité de travail nulle dans toute activité – lucrative – depuis au moins le mois de janvier 2019 (date du début des plaintes au membre supérieur droit selon la consultation spécialisée du Dr E______ du 29 mars 2019), ajoutant qu’il était encore trop tôt pour se prononcer actuellement sur la capacité de travail dans une activité adaptée, mais qu’à terme, celle-ci devrait être de 100 %. Il n’y a en l’occurrence et en l’état aucun motif d’écarter, par exemple pour manque d’objectivité ou d’impartialité, et compte tenu de l’absence de rapports médicaux clairement contradictoires, l’avis du 19 février 2020 du médecin du SMR, qui a révisé l’appréciation initiale dudit service dans un sens favorable à l’assurée sur la base des rapports des médecins ayant traité celle-ci.</w:t>
      </w:r>
    </w:p>
    <w:p>
      <w:r>
        <w:t>A/4687/2019 - 10/12 - Dans sa réponse au recours, l’intimé s’est rallié intégralement aux conclusions de ce dernier avis du SMR, ce qui semble impliquer une reconnaissance d’une incapacité totale de travail (art. 6 LPGA) et qui aurait logiquement dû conduire l’OAI à proposer un renvoi de la cause pour instruction complémentaire portant sur la composante économique de l’éventuelle invalidité (capacité de gain au sens de l’art. 7 LPGA), voire pour fixation du droit à une éventuelle rente d’invalidité. Cependant, cet office a conclu au renvoi du dossier pour instruction médicale complémentaire. b. Quoi qu’il en soit, la chambre de céans, qui n’est pas liée par les conclusions des parties (art. 61 let. d LPGA), renverra la cause à l’intimé pour instruction complémentaire sur tous les aspects pertinents, y compris médical et économique, portant sur l’entier de la période à prendre en considération pour l’octroi de prestations AI. Il appartiendra à l’OAI d’examiner quelles sont les mesures d’instruction utiles et nécessaires, sans que certaines, y compris une éventuelle enquête ménagère, doivent être d’emblée exclues. S’agissant de la nécessité d’un complément d’instruction au plan médical, une incapacité totale dans toute activité lucrative de l’intéressée depuis au moins janvier 2019 ne ressort pas de manière claire et unanime de l’ensemble des avis médicaux figurant au dossier. Notamment, dans son rapport du 29 mars 2019, le Dr E______, s’il a évoqué des plaintes pour des douleurs insupportables et constantes de la patiente depuis plus d’un mois, ne s’est pas prononcé sur la question de la capacité de travail. Les Drs G______ et H______ n’ont pas non plus tranché cette question, et la Dresse D______, dont les indications comportent des divergences entre elles, a, dans son dernier rapport (du 7 octobre 2019), retenu une capacité de travail nulle dans l’activité habituelle mais de 50 % dans une activité adaptée. Par ailleurs, comme cela ressort du dernier avis du SMR, il conviendrait de se prononcer sur la capacité de travail actuelle dans une activité adaptée, de sorte qu’il apparaît judicieux d’inclure dans cette évaluation l’examen de l’évolution de la capacité de travail de l’assurée depuis le début de la période à prendre en considération. Enfin, il manque en l’état, y compris sous l’angle médical, un examen des éventuelles limitations de l’assurée dans ses travaux habituels (art. 27bis al. 4 RAI), tâches qui représentent, selon l’OAI, 26 % de son temps. À cet égard, il n’est pas compréhensible pour quels motifs l’accomplissement des travaux habituels (au sens des art. 7 al. 2 ainsi que 28a al. 2 et 3 LAI) sans limitations, comme indiqué dans la décision attaquée, serait compatible avec une incapacité totale de travail dans toute activité lucrative, ce d’autant moins au regard des limitations découlant de l’atteinte à l’épaule droite, portant, selon le questionnaire rempli le 13 juin 2019 par la Dresse D______, sur l’exécution des tâches ménagères. Au surplus, il est relevé que le revenu de la recourante sans invalidité retenu dans la décision querellée (CHF 27'834.-) ne correspondait pas, pour une raison non encore expliquée, au montant calculé dans le document « Détermination du degré</w:t>
      </w:r>
    </w:p>
    <w:p>
      <w:r>
        <w:t>A/4687/2019 - 11/12 - d’invalidité » (CHF 20'597.-), ce alors que le revenu avec invalidité est le même dans ces deux écrits.</w:t>
      </w:r>
    </w:p>
    <w:p>
      <w:r>
        <w:rPr>
          <w:b/>
        </w:rPr>
        <w:t>E. 7</w:t>
      </w:r>
    </w:p>
    <w:p>
      <w:r>
        <w:t>Au vu de ce qui précède, le recours sera partiellement admis, la décision du 3 décembre 2019 sera annulée et la cause renvoyée à l'intimé afin qu'il procède conformément aux considérants puis rende une nouvelle décision.</w:t>
      </w:r>
    </w:p>
    <w:p>
      <w:r>
        <w:rPr>
          <w:b/>
        </w:rPr>
        <w:t>E. 8</w:t>
      </w:r>
    </w:p>
    <w:p>
      <w:r>
        <w:t>Bien qu’elle obtienne partiellement gain de cause, la recourante, qui n’est pas représentée par un mandataire (par exemple un avocat) et dont les écritures sont au demeurant très succinctes, n’a pas droit à des dépens. Vu les circonstances particulières, et bien que la procédure n’est pas gratuite en matière d’AI, il ne sera pas perçu d’émolument (art. 69 al. 1bis LAI). * * * * * *</w:t>
      </w:r>
    </w:p>
    <w:p>
      <w:r>
        <w:t>A/4687/2019 - 12/12 -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