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ATAS/65/2016 vom 21. Januar 2016</w:t>
      </w:r>
    </w:p>
    <w:p>
      <w:r>
        <w:t>GE Cour de justice, 2016-01-21, FR</w:t>
      </w:r>
    </w:p>
    <w:p>
      <w:r>
        <w:rPr>
          <w:b/>
        </w:rPr>
        <w:t xml:space="preserve">Quelle: </w:t>
      </w:r>
      <w:r>
        <w:t>https://mcp.opencaselaw.ch/entscheid/ge_gerichte_ATAS_65_2016</w:t>
      </w:r>
    </w:p>
    <w:p>
      <w:r>
        <w:t>FR: GE_GERICHTE ATAS/65/2016 du 21 janvier 2016</w:t>
      </w:r>
    </w:p>
    <w:p>
      <w:r>
        <w:t>IT: GE_GERICHTE ATAS/65/2016 del 21 gennaio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 à 60 LPGA).</w:t>
      </w:r>
    </w:p>
    <w:p>
      <w:r>
        <w:rPr>
          <w:b/>
        </w:rPr>
        <w:t>E. 4</w:t>
      </w:r>
    </w:p>
    <w:p>
      <w:r>
        <w:t>Le litige porte sur le point de savoir si c’est à bon droit que l’intimée a prononcé une suspension du droit à l’indemnité du recourant de 31 jours.</w:t>
      </w:r>
    </w:p>
    <w:p>
      <w:r>
        <w:rPr>
          <w:b/>
        </w:rPr>
        <w:t>E. 5</w:t>
      </w:r>
    </w:p>
    <w:p>
      <w:r>
        <w:t>a. 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La suspension du droit à l'indemnité prononcée en raison du chômage dû à une faute de l'assuré, en application de l'art. 44 al. 1 let. a OACI, ne suppose pas une résiliation des rapports de travail pour de justes motifs au sens des art. 337 et 346 al. 2 du Code des obligations (CO - RS 220). Il suffit que le comportement général de l'assuré ait donné lieu au congédiement de celui-ci, même sans qu'il y ait</w:t>
      </w:r>
    </w:p>
    <w:p>
      <w:r>
        <w:t>A/811/2015 - 6/11 - des reproches d'ordre professionnel à lui faire. Tel peut être le cas aussi lorsque l'employé présente un caractère, dans un sens large, qui rend les rapports de travail intenables (arrêt du Tribunal fédéral des assurances C 190/06 du 20 décembre 2006 consid. 1.2 et les références citées).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Le chômage est imputable à une faute de l’assuré notamment en cas de violation par celui-ci d’obligations découlant du contrat de travail.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 ATF non publié 8_C 497/2011 du 4 avril 2012, consid. 4). Aucune suspension pour chômage fautif ne sera prononcée lorsque le comportement de l'assuré est excusable (Circulaire du SECO, n° D22). En vertu du principe inquisitoire, il appartient avant tout à la caisse – et au juge en cas de recours – de déterminer les motifs qui ont conduit à la résiliation du contrat de travail (arrêt du Tribunal fédéral des assurances C 380/00 du 26 avril 2001 consid. 2d).</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t>A/811/2015 - 7/11 -</w:t>
      </w:r>
    </w:p>
    <w:p>
      <w:r>
        <w:rPr>
          <w:b/>
        </w:rPr>
        <w:t>E. 7</w:t>
      </w:r>
    </w:p>
    <w:p>
      <w:r>
        <w:t>En l'espèce, se pose en premier lieu la question de savoir si le recourant a donné à son ancien employeur un motif de licenciement et s’il est sans travail par sa propre faute. L’employeur soutient que le recourant a, à plusieurs reprises, oublié ou déposé au mauvais endroit des clients, contrairement à ses obligations contractuelles. Il convient de relever que l’intéressé reconnaît la plupart des incidents qui lui sont reprochés mais conteste la fréquence à laquelle ces manquements ont eu lieu, ainsi que leur ampleur. Il admet être allé chercher des clients devant leur hôtel avec quelques minutes de retard, s’être trompé de destination mais à une seule reprise, ainsi que n’avoir pas pris en charge un équipage arrivant à l’aéroport, ce qu’il impute au retard de l’avion. Il n’en demeure pas moins que des erreurs ont été commises à réitérées reprises et que l’assuré, bien que dûment averti des conséquences d’un nouveau manquement, a continué d’en commettre. Les allégations du recourant selon lesquelles son supérieur aurait cherché des prétextes pour lui nuire apparaissent d’autant moins convaincantes que rien ne vient étayer les allégations de l’assuré, d’une part, qu’il s’est avéré que, contrairement à ses dires, il n’a pas poursuivi son employeur devant les Prud’hommes, d’autre part. Les reproches du recourant à l’encontre de son employeur ne sont étayés par aucune preuve concrète. La réduction de tarif reprochée à son supérieur semble peu crédible, dans la mesure où le système de paiement des courses est géré par un organisme externe à l’employeur. Quant au reproche formulé par le recourant par rapport aux frais qui lui ont été réclamés suite à l’accident dans lequel il a été impliqué le 28 janvier 2011, il convient de noter que l’article 8 du contrat de travail prévoit expressément qu’en cas de dommage imputable à une faute du chauffeur, ce dernier répond de la réparation du préjudice jusqu’à concurrence de CHF 1'000.-. Au vu de ce qui précède, il convient de conclure que le recourant a adopté un comportement ayant donné à son employeur un motif de résiliation de son contrat et qu’il ne pouvait ignorer qu’en agissant ainsi, il courait le risque d’être licencié. Il a ainsi commis une faute au sens de l’assurance-chômage, justifiant la suspension de son droit aux indemnités.</w:t>
      </w:r>
    </w:p>
    <w:p>
      <w:r>
        <w:rPr>
          <w:b/>
        </w:rPr>
        <w:t>E. 8</w:t>
      </w:r>
    </w:p>
    <w:p>
      <w:r>
        <w:t>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Le motif de suspension visé à l'art. 44 al. 1 let. a OACI, soit le fait de donner à son employeur un motif de résiliation du contrat, entraîne souvent une suspension pour faute grave (Boris RUBIN, Assurance-chômage, Droit fédéral, Survol des mesures</w:t>
      </w:r>
    </w:p>
    <w:p>
      <w:r>
        <w:t>A/811/2015 - 8/11 -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Bundesverwaltungsrecht [SBVR], Soziale Sicherheit, 2ème éd. 2007, n. 855 p. 2435). Selon la jurisprudence, pour fixer la sanction dans un cas concret, il y a lieu de partir de la valeur moyenne de la fourchette correspondant au degré de gravité de la faute, soit 45 jours en cas de faute grave (ATF 123 V 150 consid. 3c).</w:t>
      </w:r>
    </w:p>
    <w:p>
      <w:r>
        <w:rPr>
          <w:b/>
        </w:rPr>
        <w:t>E. 9</w:t>
      </w:r>
    </w:p>
    <w:p>
      <w:r>
        <w:t>Parmi l'abondante casuistique relative aux sanctions prononcées dans les cas visés par l'art. 44 al. 1 let. a OACI, on peut citer les exemples suivants : 31 jours pour un chauffeur d'une entreprise de livraison ayant eu une violente altercation avec un employé de la poste dans le cadre de son travail, licencié avec effet immédiat (arrêt du Tribunal fédéral des assurances C 281/02 du 24 septembre 2003); 31 jours pour un assuré ayant à plusieurs reprises falsifié le pointage de ses heures de travail, licencié avec effet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pour un assuré placé dans une commune, ne s'étant pas impliqué dans son travail et dont l'attitude avec ses supérieurs laissait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manquant de motivation, n’atteignant pas les objectifs qui lui étaient fixés et s'accordant des pauses non autorisées, malgré plusieurs discussions avec son employeur sur la nécessité de s'améliorer (arrêt du Tribunal fédéral des assurances C 281/06 du 9 octobre 2007); sanction réduite par le Tribunal fédéral de 32 à 16 jours pour un employé ne prêtant pas suffisamment attention aux directives de son employeur en matière de suivi administratif (arrêt du Tribunal fédéral des assurances C 277/06 du 3 avril 2007) ; suspension réduite à 16</w:t>
      </w:r>
    </w:p>
    <w:p>
      <w:r>
        <w:t>A/811/2015 - 9/11 - jours pour un employé ayant, malgré un avertissement, déployé une activité privée pendant son temps de travail au moyen de l'infrastructure de l'employeur (arrêt du Tribunal fédéral 8C_497/2011 du 4 avril 2012) ; suspension réduite de 44 à 31 jours pour une employée dont le travail donnait satisfaction mais qui avait eu une dispute violente avec une collègue (arrêt du Tribunal fédéral des assurances C 185/05 du 20 octobre 2005) ; 38 jours pour un travailleur n’ayant pas averti son employeur du fait qu’il ne pourrait se rendre au travail (arrêt du Tribunal fédéral des assurances C 2/06 du 4 mai 2006) ; 45 jours pour un employé n’ayant annoncé une absence, alors que son manque de ponctualité et de communication avait déjà fait l’objet d’avertissements de son employeur (arrêt du Tribunal fédéral 8C_606/2010 du 20 août 2010) ; 36 jours pour un employé aux retards répétés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w:t>
      </w:r>
    </w:p>
    <w:p>
      <w:r>
        <w:rPr>
          <w:b/>
        </w:rPr>
        <w:t>E. 10</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w:t>
      </w:r>
    </w:p>
    <w:p>
      <w:r>
        <w:t>A/811/2015 - 10/11 -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w:t>
      </w:r>
    </w:p>
    <w:p>
      <w:r>
        <w:rPr>
          <w:b/>
        </w:rPr>
        <w:t>E. 11</w:t>
      </w:r>
    </w:p>
    <w:p>
      <w:r>
        <w:t>En l’occurrence, l’intimée a qualifié la faute commise par le recourant de grave et fixé la durée de la sanction à 31 jours. Le transport de personnes à l’heure et aux destinations convenues étant au cœur de l’activité de l’employeur, la chambre de céans considère que l’appréciation de l’intimée, certes sommaire, n’est pas critiquable et respecte le principe de la proportionnalité. Pour ces motifs, il y a lieu de confirmer tant la qualification grave de la faute du recourant que la durée de la suspension de son droit à l’indemnité de chômage. Eu égard à ce qui précède, le recours est rejeté. Pour le surplus, la procédure est gratuite (art. 61 let. a LPGA).</w:t>
      </w:r>
    </w:p>
    <w:p>
      <w:r>
        <w:t>A/811/2015 - 11/11 -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