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ATAS/65/2008 vom 22. Januar 2008</w:t>
      </w:r>
    </w:p>
    <w:p>
      <w:r>
        <w:t>GE Cour de justice, 2008-01-22, FR</w:t>
      </w:r>
    </w:p>
    <w:p>
      <w:r>
        <w:rPr>
          <w:b/>
        </w:rPr>
        <w:t xml:space="preserve">Quelle: </w:t>
      </w:r>
      <w:r>
        <w:t>https://mcp.opencaselaw.ch/entscheid/ge_gerichte_ATAS_65_2008</w:t>
      </w:r>
    </w:p>
    <w:p>
      <w:r>
        <w:t>FR: GE_GERICHTE ATAS/65/2008 du 22 janvier 2008</w:t>
      </w:r>
    </w:p>
    <w:p>
      <w:r>
        <w:t>IT: GE_GERICHTE ATAS/65/2008 del 22 gennaio 2008</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w:t>
      </w:r>
    </w:p>
    <w:p>
      <w:r>
        <w:t>A/4001/2006 - 9/15 -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w:t>
      </w:r>
    </w:p>
    <w:p>
      <w:r>
        <w:rPr>
          <w:b/>
        </w:rPr>
        <w:t>E. 2</w:t>
      </w:r>
    </w:p>
    <w:p>
      <w:r>
        <w:t>Conformément à l’art. 56 V al. 1 let. a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1959(LAI). Sa compétence pour juger du cas d’espèce est ainsi établie.</w:t>
      </w:r>
    </w:p>
    <w:p>
      <w:r>
        <w:rPr>
          <w:b/>
        </w:rPr>
        <w:t>E. 3</w:t>
      </w:r>
    </w:p>
    <w:p>
      <w:r>
        <w:t>Interjeté dans les formes et délai légaux, le recours est recevable (art. 60 LPGA).</w:t>
      </w:r>
    </w:p>
    <w:p>
      <w:r>
        <w:rPr>
          <w:b/>
        </w:rPr>
        <w:t>E. 4</w:t>
      </w:r>
    </w:p>
    <w:p>
      <w:r>
        <w:t>L'objet du litige porte sur le caractère invalidant des atteintes à la santé du recourant.</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w:t>
      </w:r>
    </w:p>
    <w:p>
      <w:r>
        <w:t>A/4001/2006 - 10/15 - % font l'objet d'une révision dans le délai d'un an dès l'entrée en vigueur des nouvelles dispositions.</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8</w:t>
      </w:r>
    </w:p>
    <w:p>
      <w:r>
        <w:t>Selon l'art. 29 al. 1 LAI, le droit à la rente au sens de l'art. 28 LAI prend naissance au plus tôt à la date à partir de laquelle l'assuré présente une incapacité de gain durable de 40 % au moins (let. a) ou à partir de laquelle il a présenté, en moyenne,</w:t>
      </w:r>
    </w:p>
    <w:p>
      <w:r>
        <w:t>A/4001/2006 - 11/15 -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w:t>
      </w:r>
    </w:p>
    <w:p>
      <w:r>
        <w:t>A/4001/2006 - 12/15 -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10</w:t>
      </w:r>
    </w:p>
    <w:p>
      <w:r>
        <w:t>En l'espèce, le recourant se plaint principalement de crises de cluster headache en invoquant le fait qu'elles seraient de nature à lui causer des troubles psychiques. Il convient de constater que l'intimé a renoncé à investiguer la problématique neurologique en se fondant sur un rapport médical du Dr B___________ du 8 avril 2004 selon lequel le problème de cluster headache était actuellement au second plan par rapport à celui de la dépendance aux opiacés. Toutefois, il appert que la problématique de la dépendance est désormais contrôlée par l'administration de méthadone et que le Dr F__________ a attesté récemment, soit le 1er février 2007, que le recourant souffrait toujours de cluster headache. Il convient en conséquence d'ordonner une expertise neurologique afin d'évaluer l'impact de cette affection sur la capacité de gain du recourant.</w:t>
      </w:r>
    </w:p>
    <w:p>
      <w:r>
        <w:rPr>
          <w:b/>
        </w:rPr>
        <w:t>E. 11</w:t>
      </w:r>
    </w:p>
    <w:p>
      <w:r>
        <w:t>Conformément à la requête de l'intimé, la mission d'expertise sera complétée comme suit : l. "M. L___________ souffre-t-il de céphalées multifactorielles (migraines, cluster headache, abus de substances) ? Quel a été le rôle d'abus de benzodiazépines, ainsi que celui des analgésiques prescrits par SOS médecins ? Une prise en charge des migraines lege artis a-t-elle une fois eu lieu ? La maladie grave d'un des enfants de M. L___________ influence-t-elle l'état de santé de celui-ci ? Si oui, dans quelle mesure ?"</w:t>
      </w:r>
    </w:p>
    <w:p>
      <w:r>
        <w:rPr>
          <w:b/>
        </w:rPr>
        <w:t>E. 12</w:t>
      </w:r>
    </w:p>
    <w:p>
      <w:r>
        <w:t>Cette expertise sera confiée au Dr G__________, médecin spécialiste FMH en neurologie, boulevard des Philosophes 18, 1205 Genève.</w:t>
      </w:r>
    </w:p>
    <w:p>
      <w:r>
        <w:t>A/4001/2006 - 13/15 -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