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ATAS/659/2023 vom 5. September 2023</w:t>
      </w:r>
    </w:p>
    <w:p>
      <w:r>
        <w:t>GE Cour de justice, 2023-09-05, FR</w:t>
      </w:r>
    </w:p>
    <w:p>
      <w:r>
        <w:rPr>
          <w:b/>
        </w:rPr>
        <w:t xml:space="preserve">Quelle: </w:t>
      </w:r>
      <w:r>
        <w:t>https://mcp.opencaselaw.ch/entscheid/ge_gerichte_ATAS_659_2023</w:t>
      </w:r>
    </w:p>
    <w:p>
      <w:r>
        <w:t>FR: GE_GERICHTE ATAS/659/2023 du 5 septembre 2023</w:t>
      </w:r>
    </w:p>
    <w:p>
      <w:r>
        <w:t>IT: GE_GERICHTE ATAS/659/2023 del 5 settembre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Interjeté dans la forme et le délai prévus par la loi, le recours paraît prima facie recevable (art. 56 et 60 de la LPGA; art. 89B de la loi sur la procédure administrative du 12 septembre 1985 [ LPA-GE - E 5 10 ]).</w:t>
      </w:r>
    </w:p>
    <w:p>
      <w:r>
        <w:rPr>
          <w:b/>
        </w:rPr>
        <w:t>E. 5</w:t>
      </w:r>
    </w:p>
    <w:p>
      <w:r>
        <w:t>a. 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w:t>
      </w:r>
    </w:p>
    <w:p>
      <w:r>
        <w:t>A/1338/2023 - 9/13 -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 b.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6</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w:t>
      </w:r>
    </w:p>
    <w:p>
      <w:r>
        <w:t>A/1338/2023 - 10/13 -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7</w:t>
      </w:r>
    </w:p>
    <w:p>
      <w:r>
        <w:t>En l’espèce, l’intimée, après avoir rejeté l’opposition formée contre sa décision – initiale – du 9 juin 2022, a retiré l’effet suspensif à un éventuel recours contre sa décision sur opposition, sans motivation particulière sur ce point. Dans son recours, l’assuré sollicite, préalablement à ses conclusions au fond, la restitution de l’effet suspensif au recours jusqu’à ce qu’une décision entrée en force et exécutoire soit rendue, conclusion sur mesures provisionnelles qu’il motive dans sa réplique du 21 juin 2023. Selon lui en effet, son intérêt à obtenir les prestations de la SUVA prime celui de cette dernière à les supprimer, étant précisé qu’il fait état de douleurs persistantes qui seraient en lien de causalité directe avec l’accident subi en 2019 ; en outre, l’issue du litige ne fait d’après lui aucun doute au vu des éléments, notamment médicaux, figurant au dossier, ce en sa faveur.</w:t>
      </w:r>
    </w:p>
    <w:p>
      <w:r>
        <w:rPr>
          <w:b/>
        </w:rPr>
        <w:t>E. 8</w:t>
      </w:r>
    </w:p>
    <w:p>
      <w:r>
        <w:t>La question se pose tout d’abord de savoir si une restitution en tant que telle de l’effet suspensif serait juridiquement possible en l’occurrence, étant donné que le recourant, qui ne conteste pas la stabilisation de son état de santé au 30 juin 2021, ne conclut pas à la continuation du versement des indemnités journalières et de la prise en charge des traitements médicaux, mais à l’octroi d’une rente d’invalidité ainsi que d’une IPAI supérieure à 20%, qui constituent des prestations d’une autre nature qui, s’il était fait droit à ces conclusions, seraient nouvelles. Cette question peut toutefois demeurer indécise pour les motifs qui suivent.</w:t>
      </w:r>
    </w:p>
    <w:p>
      <w:r>
        <w:rPr>
          <w:b/>
        </w:rPr>
        <w:t>E. 9</w:t>
      </w:r>
    </w:p>
    <w:p>
      <w:r>
        <w:t>Il n’est en l’état actuel pas possible d'admettre que, selon toute vraisemblance, l’intéressé obtiendra gain de cause sur le fond, en particulier pour les motifs qui suivent. Le seul médecin du recourant à faire état d’une capacité de travail inférieure à 100%, à savoir de 50%, est le Dr F______, médecin généraliste traitant, mais ce sans aucune motivation ni précisions quant aux activités qui seraient le cas échéant adaptées. Dans son rapport du 20 juin 2022, le Dr B______ ne remet pas en cause le taux d’incapacité de travail de 50%, mais indique que « cela dépend strictement du travail demandé et de la possibilité de faire des petites pauses dans la journée (cf. rapport [de l’ORIF]) » ; en outre, selon ce spécialiste en chirurgie orthopédique</w:t>
      </w:r>
    </w:p>
    <w:p>
      <w:r>
        <w:t>A/1338/2023 - 11/13 - et traumatologie de l'appareil locomoteur, la capacité de travail pour une activité bien adaptée telle que proposée dans le rapport de l’ORIF et avec des pauses adéquates dans la journée pourrait être complète. Ainsi, la plupart des médecins ayant examiné le cas de l’assuré, y compris le chirurgien orthopédiste traitant, retiennent une capacité de travail à 100% dans une activité adaptée. Partant, la question litigieuse centrale paraît prima facie être ici de déterminer quelles sont les limitations fonctionnelles et éventuellement quelle baisse de rendement ou quel taux d’abattement elles pourraient le cas échéant justifier, étant à cet égard rappelé que, conformément à l’art. 18 al. 1 LAA, l’octroi d’une rente d’invalidité en matière d’assurance-accidents suppose une invalidité (art. 8 LPGA) de 10 % au moins par suite d’un accident. Or le dossier contient plusieurs appréciations médicales différentes et parfois divergentes au sujet des limitations fonctionnelles, étant précisé qu’il semble ressortir du dernier avis du SMR que la baisse de rendement de 25% selon celui-ci paraît être liée à la limitation fonctionnelle que constitue la nécessité de pauses totalisant 2h00 sur 8 heures par jour. En particulier, il n’est en l’état pas complètement clair si la SUVA, suivant l’appréciation de son médecin d’arrondissement à laquelle elle reconnaît une pleine valeur probante, et vu les réponses légèrement différentes de celui-ci aux questions 2, 4 et 6, a ou non exclu un « travail nécessitant en complément une élévation rapide ou fréquente au-dessus des épaules dans tout soulèvement de charges répétitif de plus de 5 à 10 kg au- dessus des épaules ou en porte-à-faux » (comme préconisé par la CRR), au lieu de charges de plus de 10 kg. Surtout, le Dr D______ et l’intimée ne paraissent pas avoir suivi le SMR et l’OAI (décision de ce dernier du 22 septembre 2022) qui, en plus des limitations fonctionnelles admises par les premiers, retiennent comme limitations fonctionnelles la nécessité qu’il y ait sur la place de travail une possibilité d’alterner les positions assis-debout – donc aussi de passer d’une position assise à une position debout – et surtout la possibilité de pauses régulières à raison de quatre pauses de 30 minutes chacune maximum, soit une « possible » baisse rendement de 25% (selon la décision du 22 septembre 2022 précitée). À cet égard, notamment, le rapport du 18 mars 2022 de l’ORIF observe, au sujet du « module soudure à l’étain » (haut de la p. 8) : « [L’assuré] a pu réaliser le travail sans trop de difficultés, néanmoins, il a dû se lever régulièrement pour se détendre, car une position principalement assise ne lui est pas favorable. Il doit également utiliser un repose pied pour soulager les douleurs de la hanche », l’observation sous le « module vitrail » (haut de la p. 9) ajoutant ensuite « lors des positions assises ». La nécessité de quitter à intervalles plus ou moins réguliers la position assise et surtout la nécessité d’effectuer régulièrement des pauses totalisant 2h00 par jour ne constituent manifestement pas des détails en termes d’éventuelle baisse de rendement ou de limitations fonctionnelles. Cela paraît donc être prima facie de manière infondée que l’intimée, dans sa décision sur opposition querellée, écrit que</w:t>
      </w:r>
    </w:p>
    <w:p>
      <w:r>
        <w:t>A/1338/2023 - 12/13 - les appréciations du Dr D______ ne sont pas mises en doute, même d’une manière légère, par les autres avis médicaux au dossier. Ceci ne signifie toutefois pas encore que la SUVA et son médecin d’arrondissement auraient tort de ne pas retenir la nécessité de quitter à intervalles plus ou moins réguliers la position assise ni la nécessité d’effectuer régulièrement des pauses, ce d’autant moins que les rapports de la CRR ne semblent prima facie pas faire état de telles limitations fonctionnelles et/ou baisse de rendement. Cette question devra, comme les autres questions pertinentes, faire l’objet de clarifications et d’investigations plus approfondies au fond avant d’être tranchée. Il ne paraît en l’état pas possible d'admettre que, selon toute vraisemblance, le recourant présenterait un degré d’invalidité d’au moins 10% (pour l’octroi d’une rente).</w:t>
      </w:r>
    </w:p>
    <w:p>
      <w:r>
        <w:rPr>
          <w:b/>
        </w:rPr>
        <w:t>E. 10</w:t>
      </w:r>
    </w:p>
    <w:p>
      <w:r>
        <w:t>Pour le reste, on ne saurait en tout état de cause, si tant est que le recourant le demandait, ordonner d’éventuelles mesures provisionnelles au sujet du taux de l’IPAI, ce d’autant moins que le chirurgien orthopédiste traitant de l’intéressé semble être d’accord avec le Dr D______ et la caisse concernant l’IPAI de 20%.</w:t>
      </w:r>
    </w:p>
    <w:p>
      <w:r>
        <w:rPr>
          <w:b/>
        </w:rPr>
        <w:t>E. 11</w:t>
      </w:r>
    </w:p>
    <w:p>
      <w:r>
        <w:t>Dans ces circonstances, les chances de succès du recourant sur le fond ne paraissent pas évidentes à première vue. Dès lors, l’intérêt de l’intimée au non-octroi de l’effet suspensif ou de toutes autres mesures provisionnelles l’emporte sur celui du recourant à obtenir le versement de prestations. L’issue de la procédure étant incertaine, il existe un risque important qu’il ne puisse pas rembourser les prestations qui lui seraient versées à tort par l’intimée pendant la procédure.</w:t>
      </w:r>
    </w:p>
    <w:p>
      <w:r>
        <w:rPr>
          <w:b/>
        </w:rPr>
        <w:t>E. 12</w:t>
      </w:r>
    </w:p>
    <w:p>
      <w:r>
        <w:t>Vu ce qui précède, il ne sera accordé au recourant ni effet suspensif à son recours – si tant que ceci soit juridiquement possible – ni toutes autres mesures provisionnelles.</w:t>
      </w:r>
    </w:p>
    <w:p>
      <w:r>
        <w:rPr>
          <w:b/>
        </w:rPr>
        <w:t>E. 13</w:t>
      </w:r>
    </w:p>
    <w:p>
      <w:r>
        <w:t>La suite de la procédure est réservée.</w:t>
      </w:r>
    </w:p>
    <w:p>
      <w:r>
        <w:t>***</w:t>
      </w:r>
    </w:p>
    <w:p>
      <w:r>
        <w:t>A/1338/2023 - 13/13 - PAR CES MOTIFS, LE PRESIDENT DE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