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ATAS/659/2016 vom 23. August 2016</w:t>
      </w:r>
    </w:p>
    <w:p>
      <w:r>
        <w:t>GE Cour de justice, 2016-08-23, FR</w:t>
      </w:r>
    </w:p>
    <w:p>
      <w:r>
        <w:rPr>
          <w:b/>
        </w:rPr>
        <w:t xml:space="preserve">Quelle: </w:t>
      </w:r>
      <w:r>
        <w:t>https://mcp.opencaselaw.ch/entscheid/ge_gerichte_ATAS_659_2016</w:t>
      </w:r>
    </w:p>
    <w:p>
      <w:r>
        <w:t>FR: GE_GERICHTE ATAS/659/2016 du 23 août 2016</w:t>
      </w:r>
    </w:p>
    <w:p>
      <w:r>
        <w:t>IT: GE_GERICHTE ATAS/659/2016 del 23 agosto 2016</w:t>
      </w:r>
    </w:p>
    <w:p>
      <w:pPr>
        <w:pStyle w:val="Heading2"/>
      </w:pPr>
      <w:r>
        <w:t>Erwägungen</w:t>
      </w:r>
    </w:p>
    <w:p>
      <w:r>
        <w:rPr>
          <w:b/>
        </w:rPr>
        <w:t>E. 27</w:t>
      </w:r>
    </w:p>
    <w:p>
      <w:r>
        <w:t>Par écriture du 10 juin 2016, l’intimée s’est déterminée sur le complément de recours et a considéré, tout d’abord, que les conclusions relatives à l’indemnité pour atteinte à l’intégrité devaient être écartées sans examen de leur mérite, étant donné que l’indemnité en question ne faisait pas l’objet de la décision entreprise. Après avoir relevé que le recourant ne se prononçait pas sur l’appréciation du Dr K______, l’intimée a constaté que les conclusions du Dr G______ avaient été confirmées par le Dr K______, de sorte qu’il n’y avait aucune violation du devoir d’instruction. S’agissant de la représentativité des DPT, l’intimée a considéré que les critiques étaient vaines, pour autant qu’elles fussent recevables, dès lors que les DPT retenues correspondaient aux limitations fonctionnelles. A ce propos, rien dans le dossier ne permettait de considérer que l’assuré manquait de dextérité dans les membres supérieurs. Par ailleurs, les circonstances personnelles du recourant avaient été prises en considération, dans la mesure où le salaire d’invalide retenu était inférieur au salaire moyen des 36 DPT entrant en ligne de compte. En outre, la SUVA ne voyait pas que les postes décrits, à savoir des activités simples et répétitives, exigeaient une maîtrise du français supérieure à celle nécessaire à l’exercice de l’ancienne activité. S’agissant du salaire de valide, force était de considérer qu’il n’était pas notablement inférieur au salaire de base convenu par la convention collective, de sorte qu’il n’y avait pas lieu de s’en écarter. Dans ces conditions, le recours devait être rejeté.</w:t>
      </w:r>
    </w:p>
    <w:p>
      <w:r>
        <w:rPr>
          <w:b/>
        </w:rPr>
        <w:t>E. 28</w:t>
      </w:r>
    </w:p>
    <w:p>
      <w:r>
        <w:t>Ces écritures ont été transmises au recourant et la cause a été gardée à juger.</w:t>
      </w:r>
    </w:p>
    <w:p>
      <w:r>
        <w:t>A/437/2016 - 11/22 -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A titre liminaire, il y a lieu de circonscrire l’objet du litige.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par décision du 3 août 2015, la SUVA a refusé de verser une rente d’invalidité au recourant au motif que le taux d’invalidité retenu était insuffisant. Dans cette décision, l’assureur-accidents lui a également octroyé une indemnité pour atteinte à l’intégrité de CHF 10'800.-, ce qui correspondait à une atteinte de</w:t>
      </w:r>
    </w:p>
    <w:p>
      <w:r>
        <w:t>A/437/2016 - 12/22 - 8%. Le recourant a, par courrier du 2 septembre 2015, contesté le refus de la SUVA de le mettre au bénéfice d’une rente d’invalidité. Il n’a, en revanche, pris aucune conclusion quant à l’indemnité pour atteinte à l’intégrité accordée, de sorte que la décision sur opposition n’a porté que sur le droit à une rente d’invalidité. Dans son courrier du 29 janvier 2016, valant acte de recours, l’assuré s’est borné à invoquer son état de santé et implicitement à contester le refus de rente, sans faire la moindre allusion à l’indemnité pour atteinte à l’intégrité. Ce n’est qu’une fois représenté qu’il a contesté le taux de l’atteinte à l’intégrité retenu par la SUVA. Force est ainsi de constater, dans ce contexte, que la problématique de l’indemnité pour atteinte à l’intégrité ne fait pas l’objet de la décision sur opposition querellée, de sorte qu’elle sort du cadre du litige porté par-devant la chambre de céans. Celui- ci ne concerne ainsi que le degré d’invalidité du recourant, singulièrement la valeur probante de l’appréciation du Dr G______, le salaire sans invalidité et les DPT retenues par l’intimée, à l’exclusion de l’indemnité pour atteinte à l’intégrité. Toute conclusion prise au sujet d’une telle indemnité est dès lors irrecevable. 5. a. Selon l'art. 18 al. 1er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t>A/437/2016 - 13/22 - 6.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b/aa.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w:t>
      </w:r>
    </w:p>
    <w:p>
      <w:r>
        <w:t>A/437/2016 - 14/22 -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A/437/2016 - 15/22 -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A noter, dans ce contexte, que le simple fait qu'un avis médical divergent - même émanant d'un spécialiste - ait été produit ne suffit pas à lui seul à remettre en cause la valeur</w:t>
      </w:r>
    </w:p>
    <w:p>
      <w:r>
        <w:t>A/437/2016 - 16/22 -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w:t>
      </w:r>
    </w:p>
    <w:p>
      <w:r>
        <w:t>A/437/2016 - 17/22 -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a. En l’espèce, l’intimée s’est fondée sur l’appréciation du Dr G______ pour refuser le versement d’une rente en raison d’un taux d’invalidité insuffisant. Pour sa part, le recourant considère que l’appréciation précitée ne respecte pas les réquisits jurisprudentiels en matière de valeur probante. Force est de constater que l’appréciation du Dr G______ du 23 février 2015 répond à toutes les conditions jurisprudentielles (voir supra consid. 7) permettant de lui reconnaître une pleine valeur probante. Il se fonde en effet sur l'étude du dossier médical complet, établit l'anamnèse de la recourante et relate ses plaintes. Il décrit de manière détaillée les pièces médicales du dossier. Les diagnostics ont été posés après des examens minutieux et les conclusions sont claires et motivées. b. Sur le fond, le médecin d’arrondissement a retenu que l’assuré se déplaçait avec beaucoup de difficulté en s’appuyant sur deux cannes anglaises avec un genou dont la mobilité était limitée avec une laxité interne résiduelle modérée. Le diagnostic de syndrome complexe de type I avait été retenu suite à la scintigraphie réalisée pendant le séjour à la CRR. Cinq mois après l’arthroscopie diagnostique, laquelle était la dernière intervention pratiquée, le cas pouvait être considéré comme étant stabilisé. Sur le plan de l’exigibilité, l’ancienne activité n’était plus possible. En revanche, l’assuré était capable d’exercer une activité, à plein temps et sans diminution de rendement, dans une activité adaptée, en position assise avec quelques courts déplacements, sans port de charges supérieures à 10kg et sans devoir se déplacer de façon répétée dans les escaliers ni devoir s’agenouiller ni monter sur une échelle.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conteste la valeur probante de l’appréciation du Dr G______ pour les motifs suivants :</w:t>
      </w:r>
    </w:p>
    <w:p>
      <w:r>
        <w:t>A/437/2016 - 18/22 - − Pour le recourant, le médecin précité ne pouvait retenir, en février 2015, que l’état était stabilisé dès lors que les médecins du SMR avaient considéré que la situation devait être réévaluée au printemps 2015. Cette critique est dénuée de tout fondement. Certes, les médecins de la CRR ont considéré que l’état de santé du recourant pouvait encore évoluer et que c’était pour cette raison qu’il fallait attendre le printemps pour procéder à une nouvelle évaluation. Cependant, cette appréciation n’était pas définitive et immuable et, dans la mesure où le Dr G______ a examiné le recourant avant de se prononcer, il a pu constater par lui-même l’absence d’évolution. A cela s’ajoute que, dans tous les cas, l’état du recourant devait être stabilisé au jour de l’ouverture du droit à la rente, soit le 1er juillet 2015. Or, le Dr I______ a considéré qu’en date du 8 juillet 2015, l’état du recourant était stabilisé, ce qui a été confirmé par le Dr K______ dans une appréciation fort détaillée et complète, dont le recourant ne remet d’ailleurs pas en cause la valeur probante. Au vu de ce qui précède, force est de constater que l’état du recourant était stabilisé le 1er juillet 2015, date de l’ouverture du droit à la rente. D’ailleurs, le recourant ne fournit aucun rapport contredisant cette appréciation et il ne conteste au demeurant pas son droit à une rente à compter de cette date, mais uniquement le taux retenu. − Le recourant reproche ensuite à la SUVA de s’être prononcée sans avoir requis l’avis spécialisé d’un centre d’antalgie, soit d’un centre spécialisé dans le traitement de la douleur. C'est le lieu de relever,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(ATAS/526/2012 du 19 avril 2012 consid. 8b). Or, force est de constater que dans son appréciation du 14 avril 2016, le Dr K______ a considéré que dans une activité préservant le genou droit, il n’y avait pas de raison structurelle objective pouvant expliquer les importantes douleurs présentées par l’assuré. En effet, les lésions sévères objectives au</w:t>
      </w:r>
    </w:p>
    <w:p>
      <w:r>
        <w:t>A/437/2016 - 19/22 - niveau du genou droit entraînaient une instabilité dudit genou et probablement des douleurs lors de la marche. Ainsi, lorsque le genou n’était pas sollicité, lesdites lésions ne pouvaient entraîner des douleurs. Dans ces circonstances, il doit être considéré que les plaintes du recourant ne concordent pas avec les observations médicales concluantes, de sorte qu’il est tout à fait cohérent que le Dr K______ ne retienne aucune incapacité de travail. Par ailleurs, l’avis d’un centre d’antalgie a vraisemblablement été suggéré par les médecins de la CRR afin de trouver une solution pouvant soulager le recourant. Cela ne préjuge toutefois en rien de l’appréciation de la capacité de travail. d. Au vu de ce qui précède, la chambre de céans constate que le recourant n’a pas été en mesure de faire valoir des éléments objectifs précis justifiant, d'un point de vue médical, d'envisager la situation selon une perspective différente ou, à tout le moins, la mise en œuvre d'un complément d'instruction. Il y a donc lieu de reconnaître une pleine valeur probante au rapport du Dr G______ et de considérer que l’état de santé du recourant était stabilisé au 1er juillet 2015, ce que le recourant reconnaît d’ailleurs implicitement, et que dès cette date, celui-ci était totalement capable de travailler dans toute activité adaptée aux limitations fonctionnelles énumérées par le médecin d’arrondissement de la SUVA, à savoir dans une activité en position assise, avec quelques courts déplacements, sans port de charges supérieures à 10kg et sans devoir se déplacer de façon répétée dans les escaliers ni devoir s’agenouiller ou monter sur une échelle. C’est donc à juste titre que la SUVA s’est fondée sur l’appréciation du Dr G______, au demeurant confirmée par celle du Dr K______, pour calculer le taux d’invalidité du recourant. 10. a. Concernant le degré d’invalidité du recourant, il y a lieu de procéder à la comparaison des revenus en 2015. En effet, la SUVA a considéré que l’état du recourant était stabilisé à compter du 1er juillet 2015, ce qui n’a pas été contesté par le recourant. b. Le recourant travaillait pour le compte C______ Sàrl lorsqu’il a été victime de l’accident assuré. Selon les informations données par l’employeur, le salaire annuel du recourant était de CHF 55'565.- (CHF 26.50 x 42.5 x 52). Aucun 13e salaire n’était convenu. Pour sa part, le recourant conteste ce calcul, relevant que selon la convention collective de travail, il aurait dû percevoir un 13e salaire, de sorte que son salaire se serait élevé à CHF 63'445.40. Dans un arrêt ATA/103/2001 du 13 février 2001 consid. 5b, le Tribunal administratif, alors compétent en matière d’assurances sociales, avait pris en considération, dans le cas d’un assuré employé sans autorisation ad hoc, un 13e salaire conformément à la convention collective nationale étendue applicable – alors même que cela n’était pas convenu contractuellement, relevant que l’assureur- accident ne saurait cautionner les conditions de travail auxquelles (dans cette</w:t>
      </w:r>
    </w:p>
    <w:p>
      <w:r>
        <w:t>A/437/2016 - 20/22 - situation) était soumis le recourant, lorsqu'il apparaît que ces conditions étaient contraires à la convention collective. Le Tribunal administratif avait alors considéré qu’il appartenait en parallèle à l'assurance de réclamer à l'employeur les primes auxquelles il s’était soustrait (art. 95 LAA et 121 OLAA), ce qui rétablissait l'équilibre entre les prestations à servir et les primes qui devaient y donner droit. Ce raisonnement a été confirmé par le Tribunal fédéral des assurances dans son arrêt U 106/01 du 5 mars 2002 consid. 3. En l’espèce, le recourant travaillait en qualité d’aide-monteur d’échafaudages. Ses conditions de travail, et notamment ses conditions salariales, devaient ainsi respecter les conditions minimales prévues par la convention collective de travail pour les échafaudeurs suisses (ci-après : CCT), dans sa teneur en vigueur lors de l’accident assuré, en 2012. Or, selon l’art. 13 al. 9 de la CCT, dès l’engagement dans l’entreprise, les travailleurs ont droit au 13e salaire, lequel est versé au prorata de la période travaillée lorsque les rapports de travail n’ont pas duré toute l’année civile. Dans la mesure où il ne prévoit pas de 13e salaire, le contrat de travail conclu avec le recourant ne respecte ainsi pas la CCT applicable. Dans ces circonstances, l’intimée devait prendre en considération un 13e salaire conformément à l’ATA/103/2001 du 13 février 2001 consid. 5b, confirmé sur ce point par l’arrêt du Tribunal fédéral des assurances U 106/01 du 5 mars 2002 consid. 3. Par conséquent, c’est un salaire annuel de CHF 63'445.40 ([CHF 26.50/h x 42.50 h/sem. x 52 sem.] /12 x 13) que l’intimée aurait dû prendre en considération pour l’année 2015. A noter que, conformément à l’arrêt du Tribunal fédéral 8C_141/2016 consid. 5, ce salaire ne peut être qualifié de revenu nettement inférieur à la moyenne au sens du consid. 6b ci-dessus dès lors qu’il est supérieur à la convention collective de travail applicable en la matière. c. S'agissant du revenu avec invalidité, le recourant, incapable de travailler dans son activité habituelle, n’a pas repris d’activité professionnelle en Suisse. Ainsi, 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pas conforme à la jurisprudence. La SUVA a procédé audit calcul sur la base des données résultant des DPT, lesquelles sont contestées par le recourant, celui-ci ne les considérant pas compatibles avec ses limitations fonctionnelles. Il convient donc d’examiner si l’intimée a respecté la jurisprudence lors du calcul du revenu d’invalide. L’intimée a retenu cinq postes en Suisse romande, à savoir les nos 10454771 (opérateur de redressage Lentulo), 384123 (employé au découpage), 7077 (monteur en appareil), 438406 (polisseur) et 662507 (agent de soudure Laser). Ces DPT ont été établies en fonction des conditions salariales valables en 2015, année de l’ouverture du droit à la rente. Les différentes activités retenues respectent les limitations fonctionnelles du recourant dans la mesure où elles n'impliquent pas,</w:t>
      </w:r>
    </w:p>
    <w:p>
      <w:r>
        <w:t>A/437/2016 - 21/22 - selon les réponses données par les employeurs, le port de charges supérieures à 5 kg et la marche de plus de 50 mètres sauf cas rares, la position assise étant la position la plus fréquente. Les DPT prises en considération par l'intimée ne requièrent par ailleurs aucune formation particulière, hormis des initiations/formations internes d'une durée de trois semaines à 8 mois qui paraissent, au vu du travail demandé, tout à fait à la portée du recourant, étant rappelé, dans ce contexte, que la langue n’a pas à être prise en considération. La chambre de céans se rallie ainsi à l'avis de l'intimée et considère que le recourant est capable d'exercer les activités retenues. L’intimée a, en outre, précisé que 36 postes entraient en considération eu égard aux limitations fonctionnelles dont souffre le recourant et à la région retenue et a mentionné les salaires minimum (CHF 45'500.-), maximum (CHF 68'495.-) et moyen (CHF 56'058.-). Quant au revenu annuel moyen des cinq DPT retenues, il s’élève à CHF 55'428.- et est 1.1% au-dessous de la moyenne des salaires moyens des 36 postes pouvant entrer en considération de sorte qu’il est suffisamment représentatif. En retenant un revenu avec invalidité de CHF 55'428.-, le taux d’invalidité du recourant s’élève à 13% ([CHF 63'445.40 – CHF 55'428.-] / CHF 63'445.40 x 100 = 12.63%, arrondi à 13% ; voir ATF 130 V 121 consid. 3.2). C’est donc un degré d’invalidité de 13% que la SUVA aurait dû prendre en considération, ce qui ouvre le droit au versement d’une rente au taux de 13%. 11. Dans ces circonstances, il convient d’admettre le recours, d’annuler la décision sur opposition querellée et de constater que le recourant a droit à une rente d’invalidité au taux de 13%. Le recourant obtenant gain de cause, une indemnité de CHF 1'000.- lui sera accordée à titre de participation à ses frais et dépens (art. 61 let. g LPGA; art. 6 du règlement sur les frais, émoluments et indemnités en matière administrative du</w:t>
      </w:r>
    </w:p>
    <w:p>
      <w:r>
        <w:rPr>
          <w:b/>
        </w:rPr>
        <w:t>E. 30</w:t>
      </w:r>
    </w:p>
    <w:p>
      <w:r>
        <w:t>juillet 1986 [RFPA - E 5 10.03]), étant précisé que son conseil n’est intervenu qu’en cours de procédure, au stade de la réplique. Pour le surplus, la procédure est gratuite (art. 61 let. a LPGA).</w:t>
      </w:r>
    </w:p>
    <w:p>
      <w:r>
        <w:t>A/437/2016 - 22/22 -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