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ATAS/659/2008 vom 28. Mai 2008</w:t>
      </w:r>
    </w:p>
    <w:p>
      <w:r>
        <w:t>GE Cour de justice, 2008-05-28, FR</w:t>
      </w:r>
    </w:p>
    <w:p>
      <w:r>
        <w:rPr>
          <w:b/>
        </w:rPr>
        <w:t xml:space="preserve">Quelle: </w:t>
      </w:r>
      <w:r>
        <w:t>https://mcp.opencaselaw.ch/entscheid/ge_gerichte_ATAS_659_2008</w:t>
      </w:r>
    </w:p>
    <w:p>
      <w:r>
        <w:t>FR: GE_GERICHTE ATAS/659/2008 du 28 mai 2008</w:t>
      </w:r>
    </w:p>
    <w:p>
      <w:r>
        <w:t>IT: GE_GERICHTE ATAS/659/2008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 (art. 56 ss LPGA)</w:t>
      </w:r>
    </w:p>
    <w:p>
      <w:r>
        <w:t>A/1118/2007 - 9/15 -</w:t>
      </w:r>
    </w:p>
    <w:p>
      <w:r>
        <w:rPr>
          <w:b/>
        </w:rPr>
        <w:t>E. 3</w:t>
      </w:r>
    </w:p>
    <w:p>
      <w:r>
        <w:t>Est litigieux en l'occurrence le degré d'incapacité de travail du recourant, ainsi que de l'invalidité en découlant.</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A/1118/2007 - 10/15 -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A/1118/2007 - 11/15 -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l'espèce, l'expert judiciaire conclut à une incapacité de travail dans toute activité professionnelle de 50%, compte tenu des seules affections psychiques. Il émet d'importantes exigences quant à une activité adaptée, laquelle devrait être dépourvue de contacts répétés avec de la clientèle et être exercée dans un milieu sans grande promiscuité avec les collègues. Un travail d'équipe ou en atelier n'est notamment pas possible. L'expert précise en outre qu'il s'agit d'une capacité médico-théorique. L'intimé met en premier lieu en cause la valeur probante de cette expertise. Il convient toutefois de relever que celle-ci remplit a priori tous les réquisits jurisprudentiels précités pour lui reconnaître une telle valeur. Il est par ailleurs inexact que l'expert n'explique pas les raisons qui lui font retenir une incapacité de travail globale de 50%. En effet, il ressort de son expertise que la limitation est due, d'une part, à une baisse significative et durable de l'énergie disponible et des capacités motivationnelles. D'autre part, l'état de tension plus ou moins permanente et le sentiment d'insécurité provoque une intolérance aux stress sociaux. A cela s'ajoute la présence de douleurs récurrentes qui abaissent sa résistance psychique. Cette appréciation paraît convaincante et concorde avec les avis des autres médecins consultés. Ainsi, les Dresses E__________ et F__________ ont constaté dans leur rapport du 30 avril 2007 un état dépressif sévère, réactionnel à l'handicap physique et aggravé par une frustration sur le plan professionnel. Le Dr G__________ a également estimé que la capacité de travail était nulle, dans son rapport du 14 août 2007. Certes, l'expertise judiciaire ne confirme pas les conclusions du SMR, sur le plan psychiatrique, selon lesquelles le recourant n'est affecté d'aucune maladie psychique durable et invalidante. Toutefois, comme relevé dans l'ordonnance d'expertise, celles-ci ne sont pas convaincantes et cela est confirmé par l'expertise judiciaire. En effet, le diagnostic de trouble de l'adaptation avec réaction dépressive prolongée n'engendre en principe pas une invalidité, selon l'expert. Or, les médecins du SMR ont admis une incapacité de travail totale pendant plus de deux ans, ce qui paraît contradictoire au vu du diagnostic posé. Celui-ci n'explique pas non plus la persistance de la symptomatologie dépressive documentée par plusieurs autres médecins.</w:t>
      </w:r>
    </w:p>
    <w:p>
      <w:r>
        <w:t>A/1118/2007 - 12/15 - Quant à la DresseI__________, elle n'est pas psychiatre, de sorte qu'elle ne saurait être considérée comme une spécialiste dans la matière, indépendamment du fait qu'elle n'a pas examiné le recourant. Son avis du 9 avril 2008 n'est donc pas propre à mettre en doute les conclusions de l'expert judiciaire. Par conséquent, le Tribunal de céans n'a aucune raison de s'écarter de celles-ci. Toutefois, l'expert n'a déterminé la capacité de travail du recourant que sur le plan psychiatrique. Se pose dès lors la question de savoir s'il y a lieu de cumuler l'incapacité de travail de 20% admise par le SMR pour des raisons physiques avec celle de 50% retenue par l'expert. Cependant, cette question peut rester ouverte, au vu de ce qui suit.</w:t>
      </w:r>
    </w:p>
    <w:p>
      <w:r>
        <w:rPr>
          <w:b/>
        </w:rPr>
        <w:t>E. 8</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9</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Les salaires statistiques doivent toutefois être réduits pour tenir compte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(cf. ATF 126 V 78 consid. 5).</w:t>
      </w:r>
    </w:p>
    <w:p>
      <w:r>
        <w:t>A/1118/2007 - 13/15 -</w:t>
      </w:r>
    </w:p>
    <w:p>
      <w:r>
        <w:rPr>
          <w:b/>
        </w:rPr>
        <w:t>E. 10</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11</w:t>
      </w:r>
    </w:p>
    <w:p>
      <w:r>
        <w:t>En l'espèce, dans la mesure où une incapacité de travail durable est constatée depuis mai 2003, l'année déterminante pour la comparaison des gains est 2004. Pour le revenu d'invalide, le salaire de référence est celui auquel peuvent prétendre les hommes effectuant des activités simples et répétitives (niveau de qualification 4) dans le secteur privé, à savoir 55'056 fr. par année (Enquête suisse sur la structure des salaires 2004, TA1, p. 53). Au regard du large éventail d'activités simples et répétitives que recouvrent les secteurs de la production et des services, on doit en effet convenir qu'un certain nombre d'entre elles sont légères et adaptées aux problèmes dorsaux du recourant. A cet égard, il convient de relever qu'il n'y a pas lieu de prendre en considération les salaires relatifs aux activités d'un niveau 3, comme l'a fait l'intimé dans sa détermination du degré d'invalidité du 12 février 2007. En effet, de telles activités présupposent des connaissances professionnelles spécialisées dont le recourant ne dispose pas, n'ayant travaillé que comme machiniste sur pelle et trax et comme concierge, activités qui ne sont plus exigibles aujourd'hui. Comme les salaires bruts standardisés tiennent compte d'un horaire de travail de 40 heures, soit une durée hebdomadaire inférieure à la moyenne usuelle dans les entreprises en 2004 (41,6 heures; La Vie économique, 4-2008, p. 90, B9.2), ce montant doit être porté à 57'258 fr. 20. Vu la nationalité étrangère du recourant, le taux d'activité partiel et en particulier ses handicaps notables, entraînant une diminution de la capacité de travail, même dans une activité adaptée, de 20% rien qu'à cause des limitations physiques selon le SMR et nécessitant que le recourant travaille de façon quasi isolée, il se justifie de procéder à un abattement de ce salaire statistique à hauteur de 20 %. Le revenu d'invalide est ainsi de 22'903 fr. 20, pour une capacité de travail globale de 50 %. Quant au salaire sans invalidité, il convient de retenir que le recourant a réalisé en 2003 un salaire mensuel de 5'767 fr., ainsi qu'un 13ème salaire. Après indexation à l'évolution des salaires en 2004 (indice 0,9 entre 2003 et 2004, cf. La Vie Economique 4-2008, p. 91, B 10.2), le revenu annuel sans invalidité s'établit à 75'645 fr. 70. De la comparaison des salaires résulte une perte de gain de 69,72 %, pourcentage qui doit être arrondi au chiffre en pourcent supérieur, soit à 70% (ATF 130 V 121, consid. 3.2, p. 123). Un tel degré d'invalidité ouvre le droit à une rente entière après une année d'incapacité de travail de 40% au moins, soit à compter du 1er mai 2004.</w:t>
      </w:r>
    </w:p>
    <w:p>
      <w:r>
        <w:t>A/1118/2007 - 14/15 -</w:t>
      </w:r>
    </w:p>
    <w:p>
      <w:r>
        <w:rPr>
          <w:b/>
        </w:rPr>
        <w:t>E. 12</w:t>
      </w:r>
    </w:p>
    <w:p>
      <w:r>
        <w:t>Au vu de ce qui précède, le recours sera admis.</w:t>
      </w:r>
    </w:p>
    <w:p>
      <w:r>
        <w:rPr>
          <w:b/>
        </w:rPr>
        <w:t>E. 13</w:t>
      </w:r>
    </w:p>
    <w:p>
      <w:r>
        <w:t>Le recourant obtenant gain de cause, une indemnité de 2'500 fr. lui est octroyée à titre de dépens.</w:t>
      </w:r>
    </w:p>
    <w:p>
      <w:r>
        <w:rPr>
          <w:b/>
        </w:rPr>
        <w:t>E. 14</w:t>
      </w:r>
    </w:p>
    <w:p>
      <w:r>
        <w:t>L'intimé qui succombe sera condamné au paiement d'un émolument de justice de 200 fr.</w:t>
      </w:r>
    </w:p>
    <w:p>
      <w:r>
        <w:t>A/1118/2007 - 15/15 -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