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ATAS/658/2025 vom 2. September 2025</w:t>
      </w:r>
    </w:p>
    <w:p>
      <w:r>
        <w:t>GE Cour de justice, 2025-09-02, FR</w:t>
      </w:r>
    </w:p>
    <w:p>
      <w:r>
        <w:rPr>
          <w:b/>
        </w:rPr>
        <w:t xml:space="preserve">Quelle: </w:t>
      </w:r>
      <w:r>
        <w:t>https://mcp.opencaselaw.ch/entscheid/ge_gerichte_ATAS_658_2025</w:t>
      </w:r>
    </w:p>
    <w:p>
      <w:r>
        <w:t>FR: GE_GERICHTE ATAS/658/2025 du 2 septembre 2025</w:t>
      </w:r>
    </w:p>
    <w:p>
      <w:r>
        <w:t>IT: GE_GERICHTE ATAS/658/2025 del 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le litige porte sur la quotité de la rente d’invalidité, dont il n’est pas contesté que le droit est né antérieurement à cette date, de sorte que les dispositions légales applicables seront citées dans leur teneur en vigueur jusqu’au 31 décembre 2021.</w:t>
      </w:r>
    </w:p>
    <w:p>
      <w:r>
        <w:rPr>
          <w:b/>
        </w:rPr>
        <w:t>E. 2</w:t>
      </w:r>
    </w:p>
    <w:p>
      <w:r>
        <w:t>Le litige porte sur le droit de la recourante à une rente d’invalidité supérieure à une demi-rente dès le 1er juin 2020 et à un 60% d’une rente entière d’invalidité dès le 1er janvier 2024.</w:t>
      </w:r>
    </w:p>
    <w:p>
      <w:r>
        <w:rPr>
          <w:b/>
        </w:rPr>
        <w:t>E. 3</w:t>
      </w:r>
    </w:p>
    <w:p>
      <w:r>
        <w:t>Comorbidités On ne saurait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w:t>
      </w:r>
    </w:p>
    <w:p>
      <w:r>
        <w:t>A/1109/2025 - 11/22 -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A/1109/2025 - 12/22 - niveau d’activité sociale de l’assuré avant et après la survenance de l’atteinte à la santé (ATF 141 V 281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 arrêt du Tribunal fédéral 9C_618/2019 du 16 mars 2020 consid. 8.3).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A/1109/2025 - 7/22 -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3.2.1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w:t>
      </w:r>
    </w:p>
    <w:p>
      <w:r>
        <w:t>A/1109/2025 - 8/22 - 281 consid. 2.1.1, 2.1.2, 2.2 et 2.2.2 ; arrêt du Tribunal fédéral 9C_618/2019 du 16 mars 2020 consid. 8.1.1).</w:t>
      </w:r>
    </w:p>
    <w:p>
      <w:r>
        <w:rPr>
          <w:b/>
        </w:rPr>
        <w:t>E. 3.2.2</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w:t>
      </w:r>
    </w:p>
    <w:p>
      <w:r>
        <w:rPr>
          <w:b/>
        </w:rPr>
        <w:t>E. 3.2.3</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En l’absence d’un diagnostic psychiatrique, une telle appréciation n’a pas non plus à être effectuée (ATF 143 V 418 consid. 7.1 ; 409 consid. 4.5.3 ; arrêts du Tribunal fédéral 8C_43/2023 du 29 novembre 2023 consid. 5.2 ; 9C_101/2019 du 12 juillet 2019 consid. 4.3 ; 9C_176/2018 du 16 août 2018 consid. 3.2.2).</w:t>
      </w:r>
    </w:p>
    <w:p>
      <w:r>
        <w:rPr>
          <w:b/>
        </w:rPr>
        <w:t>E. 3.2.4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w:t>
      </w:r>
    </w:p>
    <w:p>
      <w:r>
        <w:t>A/1109/2025 - 9/22 - une tâche ou une action (arrêt du Tribunal fédéral 9C_111/2016 du 19 juillet 2016 consid. 7 et la référence).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sur les manifestations concrètes de l'atteinte à la santé diagnostiquée aident à séparer les limitations fonctionnelles qui sont dues à une atteinte à la santé des conséquences (directes) de facteurs non assurés. Le point de départ est le degré de gravité minimal inhérent au diagnostic. Il doit être rendu vraisemblable compte tenu de l’étiologie et de la pathogénèse de la pathologie déterminante pour le diagnostic (ATF 141 V 281 consid. 4.31.1 ; arrêt du Tribunal fédéral 9C_265/2023 du 19 août 2024 consid. 6.3 et la référence).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 du Tribunal fédéral 9C_762/2019 du 16 juin 2020 consid. 5.2). Le fait d'avoir été en mesure d'exercer une activité lucrative pendant de nombreuses années sans problème majeur est un élément important à prendre en considération dans l'évolution de la situation médicale de la personne assurée. Cet élément ne suffit toutefois pas pour en déduire une absence de gravité des atteintes à la santé (cf. arrêt du Tribunal fédéral 9C_618/2019 du 16 mars 2020 consid. 8.2.1.2).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Á</w:t>
      </w:r>
    </w:p>
    <w:p>
      <w:r>
        <w:t>A/1109/2025 - 10/22 -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t>A/1109/2025 - 13/22 - Sans remettre en cause le principe de la libre appréciation des preuves, le Tribunal fédéral des assurances a posé des lignes directrices en ce qui concerne la manière d'apprécier certains types d'expertises ou de rapports médicaux</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A/1109/2025 - 14/22 -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3.4.2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w:t>
      </w:r>
    </w:p>
    <w:p>
      <w:r>
        <w:t>A/1109/2025 - 15/22 - Confédération suisse du 18 avril 1999 (RS 101 – Cst. ; SVR 2001 IV n. 10 p. 28 consid. 4b), la jurisprudence rendue sous l’empire de l’art. 4 aCst. étant toujours valable (ATF 124 V 90 consid. 4b ; 122 V 157 consid. 1d).</w:t>
      </w:r>
    </w:p>
    <w:p>
      <w:r>
        <w:rPr>
          <w:b/>
        </w:rPr>
        <w:t>E. 3.4.3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w:t>
      </w:r>
    </w:p>
    <w:p>
      <w:r>
        <w:t>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w:t>
      </w:r>
    </w:p>
    <w:p>
      <w:r>
        <w:t>A/1109/2025 - 19/22 -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5.3</w:t>
      </w:r>
    </w:p>
    <w:p>
      <w:r>
        <w:t>Existe-t-il des limitations fonctionnelles neuropsychologiques ? Si oui, veuillez les détailler.</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A/1109/2025 - 20/22 -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 (au besoin en utilisant les items de la mini-CIF)</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 Veuillez-vous prononcer sur la capacité de travail de la personne expertisée d’un point de vue uniquement psychiatrique, étant relevé qu’une incapacité de travail de 50% a déjà été retenue du point de vue somatique.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9.3.4</w:t>
      </w:r>
    </w:p>
    <w:p>
      <w:r>
        <w:t>Est-ce que l’interaction entre les troubles psychiques et somatiques a un impact sur la capacité de travail de la personne expertisée et, cas échéant, de quelle manière ?</w:t>
      </w:r>
    </w:p>
    <w:p>
      <w:r>
        <w:rPr>
          <w:b/>
        </w:rPr>
        <w:t>E. 9.4</w:t>
      </w:r>
    </w:p>
    <w:p>
      <w:r>
        <w:t>Comment la capacité de travail de la personne expertisée a-t-elle évolué depuis le 5 avril 2016 ?</w:t>
      </w:r>
    </w:p>
    <w:p>
      <w:r>
        <w:t>A/1109/2025 - 21/22 -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t>Êtes-vous d'accord avec l'expertise du Dr L______ du 15 juillet 2024 ? En particulier avec l’absence de tout diagnostic psychiatrique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A. Ordonne un examen neuropsychologique, comprenant un test de validation des performances et la réponse aux questions suivantes : 1. Quelle est la gravité de l’éventuel trouble neuropsychologique ? 2. Quelles sont les limitations fonctionnelles ? 3. Quelle est la capacité de travail dans l’activité habituelle et dans une activité adaptée, compte tenu des limitations neuropsychologiques ? B. Commet à cette fin O______, MAS en neuropsychologie clinique, rue Q______, à Genève. C. Invite O______ à communiquer, dans les meilleurs délais, son rapport à la chambre de céans et au Dr N______. III. Invite l’expert à déposer, dans les meilleurs délais, son rapport en trois exemplaires auprès de la chambre de céans. IV. Réserve le fond ainsi que le sort des frais jusqu’à droit jugé au fond.</w:t>
      </w:r>
    </w:p>
    <w:p>
      <w:r>
        <w:t>A/1109/2025 - 22/22 -</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