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ATAS/658/2018 vom 10. Juli 2018</w:t>
      </w:r>
    </w:p>
    <w:p>
      <w:r>
        <w:t>GE Cour de justice, 2018-07-10, FR</w:t>
      </w:r>
    </w:p>
    <w:p>
      <w:r>
        <w:rPr>
          <w:b/>
        </w:rPr>
        <w:t xml:space="preserve">Quelle: </w:t>
      </w:r>
      <w:r>
        <w:t>https://mcp.opencaselaw.ch/entscheid/ge_gerichte_ATAS_658_2018</w:t>
      </w:r>
    </w:p>
    <w:p>
      <w:r>
        <w:t>FR: GE_GERICHTE ATAS/658/2018 du 10 juillet 2018</w:t>
      </w:r>
    </w:p>
    <w:p>
      <w:r>
        <w:t>IT: GE_GERICHTE ATAS/658/2018 del 10 luglio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la détermination de son statut et les empêchements résultants de son atteinte à la santé.</w:t>
      </w:r>
    </w:p>
    <w:p>
      <w:r>
        <w:t>A/4568/2017 - 8/17 -</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ATAS/502/2017 du 20 juin 2017 consid. 4b).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 au moins (art. 28 al. 1 LAI), la rente d’invalidité alors allouée étant un quart de rente, une demie-rente, un trois quarts de rente ou une rente entière selon que le taux d’invalidité est, respectivement, de 40 à 49%, de 50 à 59%, de 60 à 69% ou de 70% ou plus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w:t>
      </w:r>
    </w:p>
    <w:p>
      <w:r>
        <w:t>A/4568/2017 - 9/17 - déduire de manière abstraite le degré d'invalidité de l'incapacité de travail, sans tenir compte de l'incidence économique de l'atteinte à la santé (ATF 114 V 281 consid. 1c et 310 consid. 3c; RAMA 1996 n° U 237 p. 36 consid. 3b).</w:t>
      </w:r>
    </w:p>
    <w:p>
      <w:r>
        <w:rPr>
          <w:b/>
        </w:rPr>
        <w:t>E. 6</w:t>
      </w:r>
    </w:p>
    <w:p>
      <w:r>
        <w:t>Tant lors de l’examen initial du droit à la rente qu’à l’occasion d’une révision de celle-ci (art. 17 LPGA), il faut déterminer quelle méthode d’évaluation de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w:t>
      </w:r>
    </w:p>
    <w:p>
      <w:r>
        <w:t>A/4568/2017 - 10/17 - principe selon lequel l’administration ou le juge devrait statuer, dans le doute, en faveur de l’assuré (ATF 126 V 319 consid. 5a).</w:t>
      </w:r>
    </w:p>
    <w:p>
      <w:r>
        <w:rPr>
          <w:b/>
        </w:rPr>
        <w:t>E. 8</w:t>
      </w:r>
    </w:p>
    <w:p>
      <w:r>
        <w:t>En l’espèce, l’intimé a retenu un statut de ménagère principalement au motif que la recourante a cotisé en tant que personne sans activité lucrative entre 2011 et 2013. Elle ne travaillait ainsi déjà plus au début de l’incapacité de travail ayant conduit au dépôt de la demande de prestations. Pour sa part, la recourante explique qu’elle n’a pas repris d’activité lucrative en raison de son atteinte. Certes, comme le soulève l’intimé, la recourante n’a pas travaillé entre 2011 et 2013. Cela ne suffit toutefois pas pour considérer qu’elle a cessé toute activité par convenance personnelle. En effet, selon la demande de prestations, l’assurée sollicite le versement d’une rente en raison d’une atteinte dont la nature n’est pas précisée mais qui remonte au 1er avril 2010. Or, cette date coïncide avec la première incapacité de travail, celle présentée du 1er avril 2010 au 16 février 2011. Il n’est ainsi pas exclu que son état de santé ne lui ait pas permis de reprendre son activité habituelle à l’issue de son incapacité de travail. Par ailleurs, dans son formulaire destiné à l’Hospice général, elle a expliqué qu’elle aurait exercé une activité professionnelle si elle ne souffrait pas de ses deux épaules, ce qu’elle a confirmé lors de l’enquête ménagère. Il existe ainsi un doute quant aux motifs pour lesquels la recourante a cessé toute activité professionnelle dès 2011. Dans un tel cas, la logique voudrait que la cause soit renvoyée à l’OAI pour instruction complémentaire sur le statut de la recourante. Cependant, pour des motifs d’économie de procédure, la chambre de céans renoncera au renvoi, dès lors que même si l’on devait retenir un statut d’active comme le souhaite la recourante, le recours devrait tout de même être rejeté et ce pour les motifs suivants.</w:t>
      </w:r>
    </w:p>
    <w:p>
      <w:r>
        <w:rPr>
          <w:b/>
        </w:rPr>
        <w:t>E. 9</w:t>
      </w:r>
    </w:p>
    <w:p>
      <w:r>
        <w:t>a.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w:t>
      </w:r>
    </w:p>
    <w:p>
      <w:r>
        <w:t>A/4568/2017 - 11/17 -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En l’espèce, se référant aux appréciations du Dr B______, le SMR retient une capacité de travail entière dans une activité adaptée. Pour la recourante, l’appréciation du SMR ne correspond pas aux pièces du dossier, étant donné que le Dr B______ ne se prononce pas sur sa capacité de travail et que la Dresse C______ retient une capacité de travail de 50% seulement. Force est tout d’abord de constater que, contrairement à ce que prétend la recourante, le Dr B______ a expressément retenu une capacité de travail totale dans une activité adaptée dans son courrier du 30 mai 2016 (« nous retenons une capacité de 100% mais sans travail prolongé au-dessus du plan des épaules et avec un port de charge occasionnel limité à 5kg, ceci depuis 2009. Au vu de ces limitations, l’activité de gouvernante n’est pas envisageable. Une activité telle qu’employée de bureau serait par exemple indiquée »). Certes, dans son courrier du 9 mars 2017, le médecin précité n’a plus quantifié la capacité de travail de la recourante. Cependant, dans la mesure où ses conclusions sont superposables à celles du 30 mai 2016 et qu’aucune aggravation n’est mentionnée, on peut considérer que la capacité de travail dans une activité adaptée est la même et qu’elle est de 100%. Quant à la Dresse C______, elle n’a en réalité fait que se référer à un courrier du Dr B______, daté du 25 janvier 2015, dans lequel ce médecin a évoqué une capacité de travail de 50%. Cela étant, cette appréciation a été actualisée le 30 mai 2016. Compte tenu de ce qui précède, c’est à juste titre que le SMR – et partant l’OAI – a retenu une capacité de travail totale dans une activité adaptée. Au demeurant, la recourante n’a pas fourni la moindre appréciation médicale qui contredirait les conclusions du SMR. Bien plus, elle a elle-même indiqué dans la demande de prestations qu’elle avait présenté une incapacité de travail de 100% jusqu’au</w:t>
      </w:r>
    </w:p>
    <w:p>
      <w:r>
        <w:t>A/4568/2017 - 12/17 - 15 février 2015 seulement, aucune incapacité subséquente, même à 50%, n’étant mentionnée.</w:t>
      </w:r>
    </w:p>
    <w:p>
      <w:r>
        <w:rPr>
          <w:b/>
        </w:rPr>
        <w:t>E. 10</w:t>
      </w:r>
    </w:p>
    <w:p>
      <w:r>
        <w:t>Reste à déterminer le degré d’invalidité.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Selon l’art. 29 LAI, dans sa teneur en vigueur depuis le 1er janvier 2008, le droit à la rente d’invalidité prend naissance six mois après le dépôt de la demande.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w:t>
      </w:r>
    </w:p>
    <w:p>
      <w:r>
        <w:t>A/4568/2017 - 13/17 -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A/4568/2017 - 14/17 - comme la mieux appropriée (ATF 126 V 75 consid. 6; ATF 123 V 150 consid. 2 et les références; arrêt du Tribunal fédéral 8C_337/2009 du 18 février 2010 consid. 7.5).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rPr>
          <w:b/>
        </w:rPr>
        <w:t>E. 12</w:t>
      </w:r>
    </w:p>
    <w:p>
      <w:r>
        <w:t>Il ressort de ce qui précède que le degré d’invalidité de la recourante, que celle-ci ait le statut de ménagère ou d’active, est dans tous les cas inférieur aux 40% nécessaires pour lui ouvrir le droit à une rente. Dans ces conditions,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A/4568/2017 - 17/17 -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