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ATAS/657/2023 vom 1. September 2023</w:t>
      </w:r>
    </w:p>
    <w:p>
      <w:r>
        <w:t>GE Cour de justice, 2023-09-01, FR</w:t>
      </w:r>
    </w:p>
    <w:p>
      <w:r>
        <w:rPr>
          <w:b/>
        </w:rPr>
        <w:t xml:space="preserve">Quelle: </w:t>
      </w:r>
      <w:r>
        <w:t>https://mcp.opencaselaw.ch/entscheid/ge_gerichte_ATAS_657_2023</w:t>
      </w:r>
    </w:p>
    <w:p>
      <w:r>
        <w:t>FR: GE_GERICHTE ATAS/657/2023 du 1 septembre 2023</w:t>
      </w:r>
    </w:p>
    <w:p>
      <w:r>
        <w:t>IT: GE_GERICHTE ATAS/657/2023 del 1 settembre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2.1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2.2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A/2177/2021 - 9/28 - peut raisonnablement être exigée de lui après les traitements et les mesures de réadaptation, sur un marché du travail équilibré (art. 16 LPGA et 28 al. 2 LAI).</w:t>
      </w:r>
    </w:p>
    <w:p>
      <w:r>
        <w:rPr>
          <w:b/>
        </w:rPr>
        <w:t>E. 2.3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2.3.1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Le Tribunal fédéral a également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w:t>
      </w:r>
    </w:p>
    <w:p>
      <w:r>
        <w:t>A/2177/2021 - 10/28 -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2.3.2</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w:t>
      </w:r>
    </w:p>
    <w:p>
      <w:r>
        <w:t>A/2177/2021 - 11/28 -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w:t>
      </w:r>
    </w:p>
    <w:p>
      <w:r>
        <w:rPr>
          <w:b/>
        </w:rPr>
        <w:t>E. 2.3.3</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w:t>
      </w:r>
    </w:p>
    <w:p>
      <w:r>
        <w:rPr>
          <w:b/>
        </w:rPr>
        <w:t>E. 2.4</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2.5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w:t>
      </w:r>
    </w:p>
    <w:p>
      <w:r>
        <w:t>A/2177/2021 - 16/28 -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2.6</w:t>
      </w:r>
    </w:p>
    <w:p>
      <w:r>
        <w:t>Le point de départ de l'évaluation prévue pour les troubles somatoformes douloureux (ATF 141 V 281), les troubles dépressifs (ATF 143 V 409), les autres troubles psychiques (ATF 143 V 418)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Dans un arrêt de principe du 2 décembre 2019 (ATF 145 V 361), le Tribunal fédéral, à la lumière de l'ATF 141 V 281, a notamment posé une délimitation, entre l'examen (libre), par les autorités chargées de l'application du droit, de</w:t>
      </w:r>
    </w:p>
    <w:p>
      <w:r>
        <w:t>A/2177/2021 - 17/28 -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w:t>
      </w:r>
    </w:p>
    <w:p>
      <w:r>
        <w:t>A/2177/2021 - 18/28 -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2.7</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précité consid. 3b/aa p. 352 s. et les références). 3. En l’occurrence, la chambre de céans a confié une expertise judiciaire bidisciplinaire, rhumatologique et psychiatrique, au Drs N______ et O______, après avoir considéré que le rapport d’expertise du SMEX ne remplissait pas les critères jurisprudentiels pour se voir attribuer une pleine valeur probante.</w:t>
      </w:r>
    </w:p>
    <w:p>
      <w:r>
        <w:rPr>
          <w:b/>
        </w:rPr>
        <w:t>E. 3</w:t>
      </w:r>
    </w:p>
    <w:p>
      <w:r>
        <w:t>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w:t>
      </w:r>
    </w:p>
    <w:p>
      <w:r>
        <w:rPr>
          <w:b/>
        </w:rPr>
        <w:t>E. 3.1</w:t>
      </w:r>
    </w:p>
    <w:p>
      <w:r>
        <w:t>S’agissant du volet rhumatologique, l’expertise comprend une anamnèse, la description d’une journée-type, les plaintes de la recourante, un status clinique et le résumé des pièces du dossier. L’expert a posé des diagnostics clairs avec une analyse de leur impact sur la capacité de travail de la recourante. En cela, le</w:t>
      </w:r>
    </w:p>
    <w:p>
      <w:r>
        <w:t>A/2177/2021 - 19/28 - rapport d’expertise du Dr N______ répond aux critères jurisprudentiels précités pour qu’il lui soit reconnu une pleine valeur probante. L’expert retient les diagnostics, avec répercussion sur la capacité de travail, de fibromylagie (M 79.0), syndrome du tunnel carpien bilatéral, d’intensité modérée et rachialgies chroniques sur troubles dégénératifs dorsaux et lombaires avec trouble de la posture. Quant aux diagnostics sans effet sur la capacité de travail l’expert a retenu une obésité morbide, une HTA traitée et une allergie à l’iode. Il a relevé que l’examen clinique mettait clairement en évidence une fibromyalgie, la totalité des points douloureux définis pour cette maladie étant présente. L’anamnèse permettait de mettre en exergue des troubles du transit intestinal sous forme d’une constipation chronique, des troubles du sommeil avec une insomnie ou un sommeil haché et de multiples allergies. Ces symptômes étaient toujours associés à une fibromyalgie. Cette maladie était la conséquence d’un stress psychologique majeur et aboutissait à une perturbation grave du sommeil. Cette perturbation produisait des dysfonctionnements au niveau des centres de la douleur, du contrôle de la fonction intestinale, du contrôle de la tension artérielle et d’une atteinte au psychisme avec de fréquents états dépressifs. L’incapacité de travail était totale dans son emploi d’aide-soignante à cause des problèmes de rachis associés à une obésité morbide. En revanche, elle était entière dans une activité adaptée respectant les limitations fonctionnelles suivantes : pas de port de charge de plus de 5 kg, pas de mouvements répétés ou à porte-à-faux du rachis, changement de position toutes les 45 minutes, pas de montée sur les échelles ou échafaudages, pas de marche sur une surface non plane, en montée ou en descentes. S’agissant de la capacité de travail découlant du diagnostic de fibromyalgie, elle devait être définie par un psychiatre.</w:t>
      </w:r>
    </w:p>
    <w:p>
      <w:r>
        <w:rPr>
          <w:b/>
        </w:rPr>
        <w:t>E. 3.1.1</w:t>
      </w:r>
    </w:p>
    <w:p>
      <w:r>
        <w:t>La recourante conteste la valeur probante de l’expertise judiciaire rhumatologique. Elle estime contradictoire de retenir une totale incapacité de travail dans son activité d’aide-soignante, mais de considérer, sous l’angle strictement rhumatolgique, qu’elle pourrait exercer une activité adaptée à 100% sans aucune diminution de rendement, alors même qu’elle atteint le score maximal au test clinique de fibromyalgie. Ce raisonnement perd cependant de vue que si le diagnostic de fibromyalgie est d’abord le fait d’un médecin rhumatologue, une expertise psychiatrique est en principe nécessaire quand il s’agit de se prononcer sur l’incapacité de travail que la fibromyalgie est susceptible d’entrainer (cf. arrêt du Tribunal fédéral 9C_435/2022 du 20 juin 2023 consid. 5.1). L’expert rhumatologue a d’ailleurs expressément relevé que la capacité de travail découlant du diagnostic de fibromyalgie devait être définie par un psychiatre (expertise du Dr N______, p. 17). Or, en l’occurrence, l’expert psychiatre a retenu que le trouble somatoforme douloureux avait entrainé, à lui seul, une incapacité de travail partielle depuis 2013. Associé à des épisodes dépressifs, ce trouble a entraîné des incapacités de travail totales entre 2013 et mi-2016 et mi-2019 à fin 2020. L’expert</w:t>
      </w:r>
    </w:p>
    <w:p>
      <w:r>
        <w:t>A/2177/2021 - 20/28 - rhumatologue reprend les conclusions de l’expert psychiatre sur ce point puisqu’il retient notamment, dans l’appréciation consensuelle du cas, une capacité de travail nulle de 2012 à 2016 en raison de « la coexistence d’un épisode dépressif et d’une fibromyalgie, dans tous les emplois ». C’est le lieu de préciser que compte tenu de la très grande proximité entre fibromyalgie et trouble somatoforme douloureux, il n’y a pas lieu d’attendre d’un expert qui diagnostique un trouble somatoforme douloureux qu’il examine en plus l’atteinte sous l’angle de la fibromyalgie, qui est pour beaucoup de médecins une atteinte identique (arrêt du Tribunal fédéral 9C_877/2012 du 8 avril 2013 consid. 5.2).</w:t>
      </w:r>
    </w:p>
    <w:p>
      <w:r>
        <w:rPr>
          <w:b/>
        </w:rPr>
        <w:t>E. 3.1.2</w:t>
      </w:r>
    </w:p>
    <w:p>
      <w:r>
        <w:t>La recourante critique ensuite l’appréciation consensuelle effectuée par les experts, laquelle se limite à reproduire les conclusions de leurs expertises respectives. Il est vrai que, dans les deux expertises judiciaires, l’appréciation consensuelle du cas est motivée de manière succincte. Or, l’ordonnance d’expertise du 30 juin 2022 avait précisément relevé l’absence de discussion commune dans l’expertise pluridisciplinaire mandatée par l’OAI, chaque expert s’étant prononcé en regard de sa propre spécialisation. Il manquait en particulier une évaluation interdisciplinaire de la capacité de travail, les médecins n’ayant pas discuté des interférences entre les différents troubles. Or, comme mentionné supra, il ressort clairement de l’expertise rhumatologique que les répercussions du diagnostic de fibromyalgie sur la capacité de travail de la recourante devaient être examinées par le psychiatre. L’expert a ainsi reconnu l’importance d’une évaluation du diagnostic de fibromyalgie sous l’angle psychiatrique. Le psychiatre traitant a procédé à ladite évaluation en retenant que les limitations fonctionnelles dues à ce syndrome étaient présentes sans changement significatif depuis 2013. L’analyse des critères jurisprudentiels montrait que l’incapacité de travail propre à cette pathologie avait fluctué dans le temps. Cette évaluation a été discutée et reprise par les deux médecins, comme cela ressort des appréciations consensuelles figurant au terme des deux expertises. Il est vrai que, contrairement à l’expert psychiatre, le Dr N______ retient, dans son appréciation consensuelle du cas, une capacité de travail de « 40% » dans tous les emplois dès la fin 2021. Or, ce taux ne correspond pas au taux retenu pour cette période par le Dr O______, soit 60%. L’expert rhumatologue a toutefois expressément indiqué que les dates exactes seraient spécifiées par l’expert psychiatre et qu’il revenait à ce dernier d’évaluer l’incapacité de travail due au diagnostic de fibromyalgie. Or, comme on le verra, l’expertise psychiatrique est claire et bien motivée s’agissant des incapacités de travail retenues en lien avec le trouble somatoforme douloureux. Il convient donc de retenir que le taux fixé par l’expert rhumatologue, qui se réfère à l’expertise psychiatrique sur ce point, procède d’une simple erreur, ne portant pas de conséquences quant à la valeur probante de l’ensemble de l’expertise.</w:t>
      </w:r>
    </w:p>
    <w:p>
      <w:r>
        <w:t>A/2177/2021 - 21/28 -</w:t>
      </w:r>
    </w:p>
    <w:p>
      <w:r>
        <w:rPr>
          <w:b/>
        </w:rPr>
        <w:t>E. 3.1.3</w:t>
      </w:r>
    </w:p>
    <w:p>
      <w:r>
        <w:t>Enfin, en tant que la recourante se réfère au nouveau rapport médical du 21 mai 2023 du Dr G______, elle se limite à substituer son appréciation à celle de l’expert, sans démontrer l’existence de contradictions ou d’incohérences. C’est le lieu de préciser, dans la mesure où, se fondant sur le rapport du Dr G______, la recourante s’interroge sur le type de travail exigible compte tenu de ses limitations fonctionnelles, qu’il existe, conformément à la jurisprudence, de nombreuses activités professionnelles pouvant être exercées en respectant ces limitations fonctionnelles (cf. arrêt du Tribunal fédéral 9C_877/2012 du 8 avril 2013 consid. 5.3).</w:t>
      </w:r>
    </w:p>
    <w:p>
      <w:r>
        <w:rPr>
          <w:b/>
        </w:rPr>
        <w:t>E. 3.1.4</w:t>
      </w:r>
    </w:p>
    <w:p>
      <w:r>
        <w:t>Il suit des considérants qui précèdent qu’il n’y a aucune raison de s’écarter des conclusions du Dr N______.</w:t>
      </w:r>
    </w:p>
    <w:p>
      <w:r>
        <w:rPr>
          <w:b/>
        </w:rPr>
        <w:t>E. 3.2</w:t>
      </w:r>
    </w:p>
    <w:p>
      <w:r>
        <w:t>S’agissant du volet psychique, l’expertise contient une anamnèse, la description d’une journée-type, les plaintes de la recourante, un status clinique, un bilan neuropsychologique et des renseignements obtenus auprès des médecins et d’une amie de la recourante. L’expert pose des diagnostics clairs avec une analyse de leur impact sur la capacité de travail de la recourante. En cela, le rapport d’expertise du Dr O______ répond aux critères jurisprudentiels précités pour qu’il lui soit reconnu une pleine valeur probante. L’expert retient les diagnostics, avec incidence sur la capacité de travail, de syndrome douloureux somatoforme persistant (F 45.4) dès 2012 et dysthymie (F 34.1) dès le début 2021. Quant aux diagnostics sans effet sur la capacité de travail l’expert a retenu un trouble dépressif récurrent dès 2014, actuellement en rémission (F 33.4). Les diagnostics psychiques posés par l’expert et les constatations médicales y relatives ont été dûment motivés. S’agissant en particulier du syndrome douloureux somatoforme persistant (F 45.4), l’expert a constaté qu’il était présent dès 2012, avec un début des douleurs se situant en 2010. Il a constaté une focalisation sur le sentiment d’être bloquée avec un abandon des tâches, une référence au vécu douloureux occupant l’essentiel du discours, un repli sur soi assumant une position d’invalide, une vision pessimiste de l’avenir, ainsi qu’un désinvestissement partiel de la vie sociale et total en ce qui concernait la vie affective. Le sentiment de détresse était documenté par deux décompensations dépressives au cours des dix dernières années et était observable au niveau clinique avec une vision amère du passé et des plaintes constantes concernant la perte de la fonctionnalité. Les limitations fonctionnelles étaient présentes et concernaient en partie la vie quotidienne y inclus la mobilité, les soins à la personne, les activités instrumentales et la vie sociale. Ce diagnostic principal était associé à une dysthymie (humeur morose, vision pessimiste de l’avenir, tendance au repli) qui aggravait les limitations fonctionnelles sans être invalidante per se. L’évolution du diagnostic de syndrome douloureux somatoforme persistant avait été fluctuante avec deux périodes de</w:t>
      </w:r>
    </w:p>
    <w:p>
      <w:r>
        <w:t>A/2177/2021 - 22/28 - péjoration entre 2013 et mi-2016 et entre mi-2019 et début 2021, caractérisées par la survenue de deux épisodes dépressifs. Selon l’expert, une exagération des symptômes physiques pour des raisons psychologiques pouvait être exclue sur la base de son analyse neuropsychologique et l’observation clinique. L’expert n’a pas trouvé d’attitudes de dramatisation, de mise en scène ni allégation de déficits sévères malgré la présence d’un soutien psychosocial, précisant que l’assurée était authentique dans sa souffrance. S’agissant du degré de « gravité fonctionnelle », l’expert a considéré que la pathologie était de sévérité moyenne et avait été partiellement invalidante même en l’absence de décompensation dépressive. L’impact de la pathologie sur les activités de la vie quotidienne était significatif : l’assurée se montrait très lente dans l’exécution des tâches, comme cela avait été attesté par le bilan neuropsychologique, arrivait difficilement à assumer certaines activités de base (douche, ménage, cuisine, repassage) et ses sorties étaient peu fréquentes. À propos du complexe « personnalité », l’expert n’a pas relevé de traits de personnalité ou un trouble de personnalité franc pouvant interférer avec la capacité de travail de l’assurée. S’agissant du complexe « contexte social », l’expert a relevé que l’assurée avait de bons contacts avec sa famille d’origine et bénéficiait d’un soutien de cette dernière, de même qu’un réseau d’amies sur place qui pouvait se mobiliser pour l’aider. Elle pouvait se rendre en vacances. Le poids de la souffrance subjective était considérable par rapport au syndrome douloureux somatoforme, lequel occupait une grande partie de son discours et de son espace psychique. De ce fait, le tableau des ressources était, d’un point de vue psychiatrique, négatif avec un désinvestissement partiel sur le plan social et une souffrance psychique significative, qui était en train de se chroniciser. Sur le plan cognitif, l’expert a relevé des troubles attentionnels et de cognition sociale de sévérité moyenne, mais avec une bonne préservation du reste des fonctions cognitives (et notamment de sa mémoire). La lenteur dans l’exécution des tâches était au premier plan et limitait de facto ses ressources adaptatives. L’ensemble des éléments conforte ainsi la présence d’un degré de gravité fonctionnel suffisamment important pour évaluer la cohérence. Sur ce point, l’expert a relevé que le tableau était cohérent. Les limitations au niveau de l’activité quotidienne étaient hétérogènes, sans tendance à la dramatisation. Les limitations concernaient en partie les activités instrumentales, la vie quotidienne et l’hygiène personnelle comme suit : l’incapacité était totale pour le port de charges, le nettoyage et le repassage, partielle pour les repas et l’hygiène personnelle et pour les déplacements dépassant les 20 minutes de marche. En revanche, l’assurée assumait les courses et les lessives. L’activité sociale était limitée, mais existante. Malgré la perte de son mari, l’assurée avait pu</w:t>
      </w:r>
    </w:p>
    <w:p>
      <w:r>
        <w:t>A/2177/2021 - 23/28 - se montrer réactive, augmenter le nombre de ses voyages au Pakistan et ses ressources sur un plan social. En revanche, les sorties étaient rares. S’agissant du traitement, l’expert a relevé que l’adhésion au suivi était authentique sans déni de la pathologie et avec une demande de soins véritable. Il ne s’agissait pas d’une incapacité à reconnaître sa maladie, l’assurée étant consciente de la dégradation et de son état psychique. Elle avait également été capable de distinguer la poursuite des douleurs du trouble de l’humeur qui l’avait concernée à deux reprises. À l’heure actuelle, il était illusoire d’imaginer une amélioration supplémentaire de ses capacités fonctionnelles. Le syndrome douloureux somatoforme était présent depuis onze ans et enkysté en termes de flexibilité du discours. Ainsi, au vu de l’impact des atteintes psychiques sur la vie quotidienne de la recourante, ainsi que des constats de l’expert judiciaire, il convient d’admettre que le critère de la cohérence est rempli.</w:t>
      </w:r>
    </w:p>
    <w:p>
      <w:r>
        <w:rPr>
          <w:b/>
        </w:rPr>
        <w:t>E. 3.2.1</w:t>
      </w:r>
    </w:p>
    <w:p>
      <w:r>
        <w:t>L’intimé conteste la valeur probante de l’expertise psychiatrique. Elle fait valoir en premier lieu que s’agissant des limitations fonctionnelles, l’expert ne décline pas de manière claire les éventuelles restrictions fonctionnelles psychiatrique motivant une capacité de travail de 40%. Il ressort toutefois du rapport d’expertise que la capacité de travail de 40% a été retenue pour la période d’avril 2016 à avril 2019. Contrairement à ce qu’indique l’intimé, l’expert a dûment expliqué les raisons pour lesquelles il retenait une telle capacité de travail durant cette période (cf. rapport d’expertise psychiatrique, p. 28). Il a en particulier relevé que, sur le plan purement psychiatrique, le syndrome douloureux somatoforme remplissait à l’époque les critères pour être reconnu comme partiellement invalidant. L’atteinte de la fonctionnalité concernait les activités de la vie quotidienne (ménage, repassage, lessives, cuisine, courses effectuées par son mari défunt), y inclus l’hygiène personnelle, et la vie sociale et affective appauvrie. Il a également précisé que, durant cette période, la thymie était améliorée (avec un épisode dépressif en rémission partielle), les limitations fonctionnelles étant dues uniquement au syndrome douloureux somatoforme.</w:t>
      </w:r>
    </w:p>
    <w:p>
      <w:r>
        <w:rPr>
          <w:b/>
        </w:rPr>
        <w:t>E. 3.2.2</w:t>
      </w:r>
    </w:p>
    <w:p>
      <w:r>
        <w:t>L’intimé relève ensuite une contradiction s’agissant de l’analyse des ressources de la recourante. L’expert signale, d’une part, un « désinvestissement partiel de la vie social » de l’assurée et, d’autre part, il retient l’existence « d’un réseau d’amies sur place qui pouvait se mobiliser pour l’aider ». Or, le fait que la recourante dispose d’un réseau d’amies sur place a été dûment documenté par l’expert psychiatre, qui s’est notamment fondé sur un entretien téléphonique avec l’une de ses amies. Cet élément est rappelé à plusieurs reprises dans le rapport d’expertise. L’expert psychiatre a toutefois également relevé que, malgré l’existence de ce réseau social, son activité sociale était limitée. Ses sorties restaient peu fréquentes en raison de ses limitations fonctionnelles, qui étaient potentialisées par la dysthymie (impliquant une vision morose de l’avenir, une</w:t>
      </w:r>
    </w:p>
    <w:p>
      <w:r>
        <w:t>A/2177/2021 - 24/28 - humeur souvent maussade et une tendance au repli sur soi). L’expert a également relevé les plaintes de l’assurée selon laquelle sa vie sociale était très restreinte - elle n’arrivait « pas à suivre » - et constaté des troubles de l’attention et de cognition sociale de sévérité moyenne, précisant que la lenteur dans l’exécution des tâches était au premier plan, ce qui limitait de facto ses ressources adaptatives. On ne décèle ainsi aucune contradiction s’agissant des ressources définies par l’expert psychiatre.</w:t>
      </w:r>
    </w:p>
    <w:p>
      <w:r>
        <w:rPr>
          <w:b/>
        </w:rPr>
        <w:t>E. 3.2.3</w:t>
      </w:r>
    </w:p>
    <w:p>
      <w:r>
        <w:t>Quant aux actes de la vie quotidienne, l’intimé relève, sans toutefois en tirer des conclusions, que l’assurée s’occupe d’une partie de ses tâches ménagères et est capable de faire de la marche chaque soir environ 15 à 20 minutes. Or, ces éléments ont été dûment constatés par l’expert psychiatre, qui a estimé que l’ampleur des limitations fonctionnelles était celle attendue pour une telle sévérité de pathologie.</w:t>
      </w:r>
    </w:p>
    <w:p>
      <w:r>
        <w:rPr>
          <w:b/>
        </w:rPr>
        <w:t>E. 3.2.4</w:t>
      </w:r>
    </w:p>
    <w:p>
      <w:r>
        <w:t>Enfin, s’agissant des taux d’incapacité de travail, l’intimé constate des contradictions entre les capacités de travail dans une activité adaptée retenues par l’expert psychiatre à différents endroits de son rapport. On peut certes relever une contradiction s’agissant de la date retenue pour la première période d’incapacité de travail. L’expert psychiatre a en effet relevé, dans sa rubrique « limitations fonctionnelles », que les périodes concernées par les épisodes dépressifs étaient du « début 2014 » à la mi-2016 et de la mi-2019 au début 2021. Or, dans son appréciation consensuelle du cas, il a fixé le début de la première incapacité de travail à mai 2013. Il appert toutefois que la date retenue à ce titre dans la rubrique « limitations fonctionnelles », soit 2014, procède en réalité d’une simple erreur (rapport d’expertise, p. 25). L’expert a en effet répété, à plusieurs reprises dans son rapport (p. 24, 26, 28, 30 et 32), que l’incapacité de travail totale en lien avec le premier épisode dépressif avait député en mai 2013, ce qui correspondait à la date du rapport de la docteure P______, médecin interne FMH, attestant d’un état dépressif avec des insomnies en raison de troubles chroniques. Ainsi, cette seule erreur de date ne suffit-elle pas pour remettre en cause la valeur probante de l’ensemble de l’expertise.</w:t>
      </w:r>
    </w:p>
    <w:p>
      <w:r>
        <w:rPr>
          <w:b/>
        </w:rPr>
        <w:t>E. 3.2.5</w:t>
      </w:r>
    </w:p>
    <w:p>
      <w:r>
        <w:t>La recourante remet également en cause les conclusions de l’expert psychiatre, estimant que les taux d’incapacité de travail retenus seraient « sous-estimés ». Elle se réfère, en cela, au rapport médical du Dr H______ du 25 mai 2023, selon lequel le Dr O______ aurait sous-estimé « l’impact culturel de la domination masculine ». Or, par cette argumentation, la recourante se limite à substituer son appréciation à celle de l’expert, sans démontrer l’existence de contradictions ou d’incohérences. C’est le lieu de rappeler que le juge ne s'écarte pas sans motifs impérieux des conclusions d'une expertise médicale judiciaire. Or, comme on l’a vu, l’expertise psychiatrique est bien motivée et les explications quant à l’incidence des troubles psychiques sur la capacité de travail de la recourante sont claires et convaincantes. Il n’y a donc pas de motif de s’en écarter.</w:t>
      </w:r>
    </w:p>
    <w:p>
      <w:r>
        <w:t>A/2177/2021 - 25/28 -</w:t>
      </w:r>
    </w:p>
    <w:p>
      <w:r>
        <w:rPr>
          <w:b/>
        </w:rPr>
        <w:t>E. 3.2.6</w:t>
      </w:r>
    </w:p>
    <w:p>
      <w:r>
        <w:t>Il suit des considérants qui précèdent que les griefs des parties, qui n’ont pas démontré l’existence de contradictions et d’incohérences suffisamment importantes pour remettre en cause l’expertise judiciaire bi-disciplinaire, doivent être rejetés dans leur intégralité. Il convient dès lors de suivre les conclusions de l’expertise judiciaire et retenir que la recourante est atteinte de troubles psychiques présentant un degré de gravité certain et entrainant une incapacité totale de travail dans l’activité habituelle depuis 2012. S’agissant de l’activité adaptée, la capacité de travail de l’intéressée a évolué comme suit : 0% de mai 2013 à mars 2016, 40% d’avril 2016 à avril 2019, 0% de mai 2019 à décembre 2020 et 60% dès janvier 2021. On rappellera que l’expert psychiatre a considéré qu’il était illusoire d’imaginer une amélioration supplémentaire des capacités fonctionnelles de la recourante. Le syndrome douloureux somatoforme était présent depuis onze ans, enkysté en termes de flexibilité du discours. Les bénéfices secondaires existant sur un plan relationnel étaient certes significatifs mais ne permettaient pas d’espérer des modifications positives sur la capacité de travail. Ainsi, en l’absence de tout doute sur la fiabilité et la validité des conclusions des experts judiciaires, il n’y a pas lieu de procéder à des investigations complémentaires. Aussi n'est-il pas nécessaire, par appréciation anticipée des preuves (ATF 122 II 464 consid. 4a), de donner suite aux mesures d’instruction sollicitées par la recourante.</w:t>
      </w:r>
    </w:p>
    <w:p>
      <w:r>
        <w:rPr>
          <w:b/>
        </w:rPr>
        <w:t>E. 3.3</w:t>
      </w:r>
    </w:p>
    <w:p>
      <w:r>
        <w:t>Il convient de calculer le degré d’invalidité de la recourante.</w:t>
      </w:r>
    </w:p>
    <w:p>
      <w:r>
        <w:rPr>
          <w:b/>
        </w:rPr>
        <w:t>E. 3.3.1</w:t>
      </w:r>
    </w:p>
    <w:p>
      <w:r>
        <w:t>En l’occurrence, s’agissant de la période de mai 2013 à mars 2016, la recourante a droit à une rente entière d’invalidité, sa capacité de travail ayant été considérée comme nulle par les experts judiciaires. Compte tenu de la demande de prestations du 26 mars 2014 (art. 29 al. 1 LAI) et de l’art. 28 al. 1 let. b LAI, le droit à la rente entière d’invalidité naît le 1er septembre 2014 (art. 29 al. 3 LAI).</w:t>
      </w:r>
    </w:p>
    <w:p>
      <w:r>
        <w:rPr>
          <w:b/>
        </w:rPr>
        <w:t>E. 3.3.2</w:t>
      </w:r>
    </w:p>
    <w:p>
      <w:r>
        <w:t>Dès avril 2016, la recourante a retrouvé une capacité de travail à hauteur de 40%. Il convient donc de réviser la situation (art. 17 LPGA) et d’opérer un nouveau calcul du degré d’invalidité, l’année déterminante étant 2016. S’agissant du revenu d’invalide, il doit être calculé, en l’absence de reprise d’une activité lucrative, selon l’ESS 2016, tableau TA1, femme, niveau 1, total, soit un revenu annuel de CHF 52’356.- (CHF 4'363.- x 12). Compte tenu d'une durée normale de travail dans les entreprises de 41.7h en 2016, il est de CHF 54'581.15. Tenant compte d’une activité exigible à un taux de 40%, il est de CHF 21'832.45. L’intimé a appliqué, sur le revenu d’invalide, une déduction de 10%. Contrairement à ce que soutient la recourante, sans toutefois le motiver, ce taux tient suffisamment compte de l’activité qui peut être exercée compte tenu de ses limitations fonctionnelles et des désavantages liés à l’exercice d’une activité à 40%. Il existe en effet de nombreuses activités professionnelles qui peuvent être exercées en respectant les limitations prévues par l’expert rhumatologue. Le taux</w:t>
      </w:r>
    </w:p>
    <w:p>
      <w:r>
        <w:t>A/2177/2021 - 26/28 - d’abattement sera dès lors confirmé, étant relevé que la recourante ne soutient pas que d’autres critères jurisprudentiels seraient, en l’espèce, déterminants. Compte tenu de cet abattement, le revenu d’invalide est de CHF 19'649.20. S’agissant du revenu sans invalidité, l’intimé a retenu un montant de CHF 61'183.- en 2012 sur la base du questionnaire employeur du 13 juin 2014. Ce revenu n’est pas contesté par la recourante. Indexé à l’année 2016 (+ 0.7 % en 2013, + 0.8 % en 2014, + 0.4 % en 2015 et + 0.7 % en 2016), il est de CHF 62’789.-. La perte de gain subie est donc de CHF 43'139.85, ce qui donne un degré d’invalidité de 68.7%, arrondi à 69%. Ce degré donne droit à un trois-quarts de rente d’invalidité dès le 1er juillet 2016, soit à l’issue du délai de trois mois de l’art. 88a al. 1 RAI.</w:t>
      </w:r>
    </w:p>
    <w:p>
      <w:r>
        <w:rPr>
          <w:b/>
        </w:rPr>
        <w:t>E. 3.3.3</w:t>
      </w:r>
    </w:p>
    <w:p>
      <w:r>
        <w:t>Dès mai 2019, l’état de santé de la recourante s’est à nouveau aggravé, sa capacité de travail étant nulle de mai 2019 à décembre 2020, de sorte que la situation doit à nouveau être révisée (art. 17 LPGA). Elle a dès lors droit à une rente entière d’invalidité dès le 1er août 2019 (art. 88a al. 2 RAI).</w:t>
      </w:r>
    </w:p>
    <w:p>
      <w:r>
        <w:rPr>
          <w:b/>
        </w:rPr>
        <w:t>E. 3.3.4</w:t>
      </w:r>
    </w:p>
    <w:p>
      <w:r>
        <w:t>Dès janvier 2021, la recourante a retrouvé une capacité de travail à hauteur de 60%. Il convient donc de réviser la situation (art. 17 LPGA) et d’opérer un nouveau calcul du degré d’invalidité, l’année déterminante étant l’année 2021. S’agissant du revenu d’invalide, il doit être calculé, en l’absence de reprise d’une activité lucrative, selon l’ESS 2020, tableau TA1, femme, niveau 1, total, soit un revenu annuel de CHF 51’312.- (CHF 4'276.- x 12). Compte tenu d'une durée normale de travail dans les entreprises de 41.7h, il est de CHF 53'492.75. Indexé à 2021 (-0.2%), il est de CHF 53'385.75. Tenant compte d’une activité exigible à un taux de 60% et d’un abattement de 10%, il est de CHF 28'828.35. S’agissant du revenu sans invalidité, il est de CHF 61'183.- en 2012. Indexé à l’année 2021 (+ 0.7 % en 2013 + 0.8 % en 2014 + 0.4 % en 2015 + 0.7 % en 2016 + 0.4 en 2017 + 0.5 en 2018 + 0.9% en 2019 + 0.8% en 2020 – 0.2% en 2021), il est de CHF 64'308.-. La perte de gain subie est donc de CHF 35'479.65, ce qui donne un degré d’invalidité de 55.2%, arrondi à 55%. Ce degré donne droit à une demi-rente d’invalidité à compter du 1er avril 2021, soit à l’issue du délai de trois mois de l’art. 88a al. 1 RAI.</w:t>
      </w:r>
    </w:p>
    <w:p>
      <w:r>
        <w:rPr>
          <w:b/>
        </w:rPr>
        <w:t>E. 3.4</w:t>
      </w:r>
    </w:p>
    <w:p>
      <w:r>
        <w:t>Au vu de ce qui précède, le recours sera partiellement admis, la décision litigieuse annulée et il sera dit que la recourante a droit à une rente entière d’invalidité du 1er septembre 2014 au 30 juin 2016, à un trois quarts de rente d’invalidité du 1er juillet 2016 au 31 juillet 2019, à une rente entière d’invalidité du 1er août 2019 au 31 mars 2021 et à une demi-rente d’invalidité dès le 1er avril 2021. 4. La recourante obtenant partiellement gain de cause par l’intermédiaire d’une représentante, une indemnité de CHF 3'500.- lui sera accordée à titre de participation à ses frais et dépens (art. 61 let. g LPGA ; art. 6 du règlement sur les</w:t>
      </w:r>
    </w:p>
    <w:p>
      <w:r>
        <w:t>A/2177/2021 - 27/28 - frais, émolument et indemnités en matière administrative du 30 juillet 1986 [RFPA – E 5 10.03]). Au vu du sort du recours, il y a lieu de condamner l'intimé au paiement d'un émolument de CHF 200.- (art. 69 al. 1bis LAI).</w:t>
      </w:r>
    </w:p>
    <w:p>
      <w:r>
        <w:t>A/2177/2021 - 28/28 - PAR CES MOTIFS, LA CHAMBRE DES ASSURANCES SOCIALES : Statuant À la forme :</w:t>
      </w:r>
    </w:p>
    <w:p>
      <w:r>
        <w:rPr>
          <w:b/>
        </w:rPr>
        <w:t>E. 6</w:t>
      </w:r>
    </w:p>
    <w:p>
      <w:r>
        <w:t>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w:t>
      </w:r>
    </w:p>
    <w:p>
      <w:r>
        <w:t>A/2177/2021 - 12/28 -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w:t>
      </w:r>
    </w:p>
    <w:p>
      <w:r>
        <w:t>A/2177/2021 - 13/28 -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w:t>
      </w:r>
    </w:p>
    <w:p>
      <w:r>
        <w:t>A/2177/2021 - 14/28 -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8</w:t>
      </w:r>
    </w:p>
    <w:p>
      <w:r>
        <w:t>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w:t>
      </w:r>
    </w:p>
    <w:p>
      <w:r>
        <w:t>A/2177/2021 - 15/28 - structurée selon l'ATF 141 V 281 (arrêt du Tribunal fédéral 9C_599/2019 du 24 août 2020 consid. 5.1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