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ATAS/657/2022 vom 11. Juli 2022</w:t>
      </w:r>
    </w:p>
    <w:p>
      <w:r>
        <w:t>GE Cour de justice, 2022-07-11, FR</w:t>
      </w:r>
    </w:p>
    <w:p>
      <w:r>
        <w:rPr>
          <w:b/>
        </w:rPr>
        <w:t xml:space="preserve">Quelle: </w:t>
      </w:r>
      <w:r>
        <w:t>https://mcp.opencaselaw.ch/entscheid/ge_gerichte_ATAS_657_2022</w:t>
      </w:r>
    </w:p>
    <w:p>
      <w:r>
        <w:t>FR: GE_GERICHTE ATAS/657/2022 du 11 juillet 2022</w:t>
      </w:r>
    </w:p>
    <w:p>
      <w:r>
        <w:t>IT: GE_GERICHTE ATAS/657/2022 del 11 luglio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octobre 2000 (LPGA - RS 830.1) relatives à la loi fédérale sur l’assurance-chômage obligatoire et l’indemnité en cas d’insolvabilité, du 25 juin 1982 (loi sur l’assurance-chômage, LACI - RS 837.0). Sa compétence pour juger du cas d’espèce est ainsi établie. 2. Interjeté en temps utile, le recours est recevable (art. 60 LPGA). 3. Le litige porte sur le droit de l’employeur à l’indemnité en cas de RHT pour la période du 1er septembre au 22 décembre 2020. 4.</w:t>
      </w:r>
    </w:p>
    <w:p>
      <w:r>
        <w:t>4.1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modifié temporairement en raison de la pandémie de Coronavirus). Enfin, le conjoint de l’employeur, employé dans l’entreprise de celui-ci, ainsi que les personnes occupant une position assimilable à celle d’un employeur ne peuvent pas prétendre à une indemnité en cas de RHT (art. 31 al. 3 let. b et c LACI). 4.2 S’agissant plus particulièrement de la procédure, l’art. 36 al. 1 LACI – dans sa teneur au 1er janvier 2021, soit à la date de la décision du 6 mai 2021 (ATF 144 II 326 consid. 2.1.1 ; arrêt du Tribunal fédéral 9C_53/2021 du 30 juin 2021 consid. 2.1 et 5.1) – prévoit que lorsqu’un employeur a l’intention de</w:t>
      </w:r>
    </w:p>
    <w:p>
      <w:r>
        <w:t>A/1936/2021 - 5/9 - requérir une indemnité en faveur de ses travailleurs, il est tenu d’en aviser l’autorité cantonale par écrit dix jours au moins avant le début de la RHT. Le Conseil fédéral peut prévoir des délais plus courts dans des cas exceptionnels. Le préavis est renouvelé lorsque la RHT dure plus de trois mois. 4.3 Selon l’al. 2 de la même disposition, dans le préavis, l’employeur doit indiquer : a. le nombre des travailleurs occupés dans l’entreprise et celui des travailleurs touchés par la réduction de l’horaire de travail ; b. l’ampleur de la réduction de l’horaire de travail ainsi que sa durée probable ; c. la caisse auprès de laquelle il entend faire valoir le droit à l’indemnité. Dans le préavis, l’employeur doit justifier la réduction de l’horaire de travail envisagée et rendre plausible, à l’aide des documents prescrits par le Conseil fédéral, que les conditions dont dépend le droit à l’indemnité, en vertu des art. 31 al. 1 et 32 al. 1 let. a, sont réunies. L’autorité cantonale peut exiger d’autres documents nécessaires à l’examen du cas (art. 36 al. 3 LACI). Lorsque l’autorité cantonale estime qu’une ou plusieurs conditions dont dépend le droit à l’indemnité ne sont pas remplies, elle s’oppose par décision au versement de l’indemnité. Dans chaque cas, elle en informe l’employeur et la caisse qu’il a désignée (art. 36 al. 4 LACI). 4.4 Selon l’art. 58 al. 2 OACI, l’employeur doit annoncer la RHT au moyen de la formule du SECO. L’art. 58 al. 4 OACI précise que lorsque l’employeur n’a pas remis le préavis de RHT dans le délai imparti sans excuse valable, la perte de travail n’est prise en considération qu’à partir du moment où le délai imparti pour le préavis s’est écoulé. 4.5 Les délais prévus aux art. 36 LACI et 58 OACI sont des délais de déchéance, mais peuvent être restitués aux conditions de l'art. 41 LPGA (Boris RUBIN, Assurance-chômage et service public de l'emploi, 2019, n. 661). Les annonces de RHT rétroactives sont exclues (ATF 110 V 334 consid. 3c). 4.6 La chambre de céans a jugé dans un arrêt de principe du 25 juin 2020 (ATAS/510/2020) qu’un préavis ne peut avoir d’effet rétroactif. Pour les entreprises qui envoient un décompte à leur caisse sans disposer d’une autorisation valable, la date du dépôt du décompte fait office de date de dépôt du préavis (ch. 2.3 b de la directive n° 16 du SECO). 4.7 Selon l’art. 29 al. 1 LPGA, celui qui fait valoir son droit à des prestations doit s’annoncer à l’assureur compétent, dans la forme prescrite pour l’assurance sociale concernée. 4.8 Selon l’art. 29 al. 3 LPGA, si une demande ne respecte pas les exigences de forme ou si elle est remise à un organe incompétent, la date à laquelle elle a été</w:t>
      </w:r>
    </w:p>
    <w:p>
      <w:r>
        <w:t>A/1936/2021 - 6/9 - remise à la Poste ou déposée auprès de cet organe est déterminante quant à l’observation des délais et aux effets juridiques de la demande. 4.9 Si une demande ne respecte pas les exigences de forme, l’assureur compétent pourra demander, dans un certain délai, de compléter l’annonce (Guy LONGCHAMP, in Commentaire romand, Loi sur la partie générale des assurances sociales, 2018, n. 40 ad art. 29 LPGA). 4.10 Lorsqu’un assuré fait valoir son droit par un acte écrit qui ne répond pas à la forme prévue pour l’assurance sociale concernée, l’assureur social envoie une formule adéquate à l’assuré en l’invitant à la remplir dans un délai donné ; le principe de la bonne foi veut en effet que l’administration ne reste pas passive devant une demande qui ne satisfait pas aux réquisits formels. Cela suppose toutefois que l’assuré exprime, d’une manière ou d’une autre, sa volonté de présenter une « nouvelle » demande de prestations de l’assurance sociale. À défaut, la demande n’est pas « régularisée » ou « réparée » (Guy LONGCHAMP, op. cit, n. 47 ad art. 29 LPGA). 4.11 Le 19 mars 2021, l’Assemblée fédérale a adopté l’art. 17b de la loi fédérale sur les bases légales des ordonnances du Conseil fédéral visant à surmonter l’épidémie de COVID-19 (loi COVID-19 – RS 818.102). D’après son al. 1er, en dérogation à l’art. 36 al. 1 LACI, aucun délai de préavis ne doit être observé pour la réduction de l’horaire de travail. Le préavis doit être renouvelé lorsque la RHT dure plus de six mois. À partir du 1er juillet 2021, une RHT pour une durée de plus de trois mois ne peut être autorisée que jusqu’au 31 décembre 2021 au plus tard. Toute modification rétroactive d’un préavis existant doit faire l’objet d’une demande auprès de l’autorité cantonale jusqu’au 30 avril 2021 au plus tard. D’après le ch. III al. 7 de la modification du 19 mars 2021 à la loi COVID-19 (RO 2021 153), l’art. 17b al. 1 entre en vigueur rétroactivement le 1er septembre 2020 et a effet jusqu’au 31 décembre 2021. 4.12 Dans le domaine des assurances sociales, la procédure est régie par le principe inquisitoire, selon lequel les faits pertinents de la cause doivent être constatés d'office par l'autorité (art. 43 LPGA). Cette règle n'est toutefois pas absolue. Sa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(ATF 145 V 90 consid. 3.2, p. 92). En droit de l'assurance-chômage et à titre d'exemple, en matière de remise de la liste des recherches d'emploi, le Tribunal fédéral a presque toujours retenu que malgré les pertes de documents pouvant se produire dans toute administration, les assurés supportaient les conséquences de l'absence de preuve en ce qui concerne la remise de ladite liste (cf. ATF 145 V 90 consid. 3.2 précité).</w:t>
      </w:r>
    </w:p>
    <w:p>
      <w:r>
        <w:t>A/1936/2021 - 7/9 - 5. En l’espèce, il n’est pas contesté que le préavis de RHT déposé le 6 février 2021 a été adressé après la période pour laquelle l’employeur sollicitait l’indemnité y relative. Une demande d’indemnité en cas de RHT, qui doit être précédée de l’envoi d’un préavis de RHT, ne peut porter sur une période antérieure au préavis. Il n’existe pas d’effet rétroactif, comme l’a déjà jugé la chambre de céans. Cela étant, dans l’hypothèse où il faudrait considérer l’envoi des décomptes pour les mois de septembre à novembre 2020 à la CCGC, reçus par ladite caisse le</w:t>
      </w:r>
    </w:p>
    <w:p>
      <w:r>
        <w:rPr>
          <w:b/>
        </w:rPr>
        <w:t>E. 7</w:t>
      </w:r>
    </w:p>
    <w:p>
      <w:r>
        <w:t>décembre 2020, comme une demande de RHT, elle devrait également être considérée comme tardive car déposée postérieurement à la période demandée. Elle vaudrait en revanche préavis à partir de ce jour-là en application du ch. 2.3 b de la directive n° 16 du SECO susmentionné. La première condition à l’octroi de l’indemnité en cas de RHT n’étant pas remplie, c’est à raison que l’intimé a refusé à l’employeur le droit à cette indemnité antérieurement au 7 décembre 2020. L’employeur a fait toutefois valoir que les administrations cantonales et fédérales étaient mal organisées et qu’il n’avait appris que tardivement qu’il devait s’adresser à l’OCE pour obtenir les indemnités en cas de RHT. Ces motifs ne peuvent pas justifier une restitution de délai au sens de l’art. 41 LPGA, qui prévoit que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En effet, force est de constater que l’employeur n’allègue pas avoir été empêché d’agir, mais uniquement de ne pas avoir compris qu’il devait déposer un préavis de RHT auprès de l’OCE. Or, force est de constater à cet égard qu’il avait déjà déposé quelques mois plus tôt une demande d’indemnité en cas de RHT, qui lui avait été accordée le 31 mars 2020 par l’OCE, décision sur laquelle son attention était expressément « attirée sur le fait qu’il lui appartiendra[it] de déposer, le cas échéant, un nouveau préavis de réduction de l’horaire de travail. Cette demande sera[it] analysée avec plus de rigueur s'agissant notamment du risque normal d'exploitation et en tenant compte de l'évolution de la situation en relation avec le COVID-19 ». Il ne pouvait donc ignorer qu’il devrait déposer auprès de l’OCE un nouveau préavis dix jours avant l’échéance de celui accordé. Pour le surplus, il sera rappelé que nul n'est censé ignorer la loi et nul ne peut tirer des avantages de son ignorance du droit (ATF 124 V 215 consid. 2b/aa, p. 220 et arrêt du Tribunal fédéral 9C_97/2009 du 14 octobre 2009 consid. 3.3). En conséquence, le recours sera rejeté.</w:t>
      </w:r>
    </w:p>
    <w:p>
      <w:r>
        <w:t>A/1936/2021 - 8/9 - La procédure est gratuite (art. 61 let. fbis a contrario LPGA). * * * * * *</w:t>
      </w:r>
    </w:p>
    <w:p>
      <w:r>
        <w:t>A/1936/2021 - 9/9 -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