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ATAS/657/2018 vom 10. Juli 2018</w:t>
      </w:r>
    </w:p>
    <w:p>
      <w:r>
        <w:t>GE Cour de justice, 2018-07-10, FR</w:t>
      </w:r>
    </w:p>
    <w:p>
      <w:r>
        <w:rPr>
          <w:b/>
        </w:rPr>
        <w:t xml:space="preserve">Quelle: </w:t>
      </w:r>
      <w:r>
        <w:t>https://mcp.opencaselaw.ch/entscheid/ge_gerichte_ATAS_657_2018</w:t>
      </w:r>
    </w:p>
    <w:p>
      <w:r>
        <w:t>FR: GE_GERICHTE ATAS/657/2018 du 10 juillet 2018</w:t>
      </w:r>
    </w:p>
    <w:p>
      <w:r>
        <w:t>IT: GE_GERICHTE ATAS/657/2018 del 10 luglio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les conditions d’assurance, plus particulièrement sur la date à laquelle l’invalidité est survenue.</w:t>
      </w:r>
    </w:p>
    <w:p>
      <w:r>
        <w:t>A/2918/2017 - 7/17 -</w:t>
      </w:r>
    </w:p>
    <w:p>
      <w:r>
        <w:rPr>
          <w:b/>
        </w:rPr>
        <w:t>E. 5</w:t>
      </w:r>
    </w:p>
    <w:p>
      <w:r>
        <w:t>Aux termes de l’art. 6 LAI, « 1 Les ressortissants suisses et étrangers ainsi que les apatrides ont droit aux prestations conformément aux dispositions ci-après. L'art. 39 est réservé. 1bis Lorsqu'une convention de sécurité sociale conclue par la Suisse prévoit que les prestations ne sont à la charge que de l'un des États contractants, il n'y a pas de droit à la rente d'invalidité si la législation de l'autre État accorde un tel droit du fait de la totalisation des périodes d'assurance accomplies dans les deux pays par les ressortissants suisses ou ceux de l'État contractant. 2 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 3 Le droit aux prestations des personnes qui ont eu successivement plusieurs nationalités est déterminé en fonction de celle qu'elles possèdent pendant la période où les prestations leur sont versées ». Pour que l’AI puisse allouer des prestations, les conditions d’assurance doivent être réalisées lors de la survenance de l’invalidité. Les conditions d’assurance comportent deux critères : – une durée minimale de cotisations (art. 36, al. 1, LAI) ; – un domicile et une résidence habituelle en Suisse. D'après l'art. 36 al. 1 LAI en vigueur jusqu'au 31 décembre 2007, le droit aux rentes ordinaires appartient aux assurés qui, lors de la survenance de l'invalidité, comptent une année entière au moins de cotisations. Dès le 1er janvier 2008, cette durée a été portée à trois ans. À partir de l'entrée en vigueur de la 5ème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de la décision qui est déterminante (ATAS/311/2013). Les conditions d’assurance qui doivent être remplies lors de la survenance de l’invalidité peuvent être assouplies en faveur de certains ressortissants étrangers, en vertu de l’Accord sur la libre circulation des personnes conclu avec l’UE/AELE, des conventions bilatérales et, pour les réfugiés, conformément à l’arrêté fédéral concernant le statut des réfugiés et des apatrides (voir les Directives concernant le</w:t>
      </w:r>
    </w:p>
    <w:p>
      <w:r>
        <w:t>A/2918/2017 - 8/17 - statut des étrangers et des apatrides dans l’AVS et l’AI et la Circulaire sur la procédure pour la fixation des prestations dans l’AVS/AI [CIBIL]). (CIIAI n°1042) En l’occurrence, l’assurée étant de nationalité grecque, l’Accord sur la libre circulation des personnes conclu avec l’UE/AELE s’applique.</w:t>
      </w:r>
    </w:p>
    <w:p>
      <w:r>
        <w:rPr>
          <w:b/>
        </w:rPr>
        <w:t>E. 6</w:t>
      </w:r>
    </w:p>
    <w:p>
      <w:r>
        <w:t>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1er janvier 2007, n° 5009).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(arrêt du Tribunal fédéral 9C_882/09 ; ATF 126 V 5 consid. 2b et références y citées). La survenance du cas d’assurance correspond, en règle générale, à l’ouverture du droit à la rente, soit au moment où l’assuré présente une incapacité de travail d’au moins 40% en moyenne depuis une année sans interruption notable (arrêt du Tribunal fédéral 9C_882/2009), et qu’une fois le délai d’attente écoulé, l’incapacité de gain perdure à 40% au moins. Le cas d’assurance ne peut toutefois survenir au plus tôt que le premier jour du mois qui suit le 18e anniversaire (RCC 1984 p. 463). L’événement assuré n’est pas réputé survenu tant que l’assuré perçoit une indemnité journalière durant le délai d’attente (art. 18, al. 1 et 2, RAI) et pendant qu’il se soumet à des mesures de réadaptation. En effet, la rente ne peut alors prendre naissance au sens de l’art. 29, al. 2, LAI (Pratique VSI 2001 p. 148). Les assurés domiciliés en dehors des États de l’UE et de l’AELE ont droit à une rente à condition d’avoir présenté une incapacité de travail de 50% en moyenne sans interruption notable pendant une année et si le taux d’invalidité s’élève à 50% au moins à l’échéance du délai d’attente, ou s’ils présentent une incapacité de gain permanente d’au moins 50% (art. 29, al. 4, en relation avec l’art. 28, al. 1, LAI, art.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rPr>
          <w:b/>
        </w:rPr>
        <w:t>E. 11</w:t>
      </w:r>
    </w:p>
    <w:p>
      <w:r>
        <w:t>Il s’agit en l’espèce de fixer la date de survenance de l’invalidité, en d’autres termes, de déterminer à quel moment l’atteinte à la santé dont souffre l’assurée - qui n’est pas contestée - a entraîné, de par sa nature et sa gravité, une incapacité de travail et de gain susceptible de lui ouvrir le droit à une rente d’invalidité. Il y a également lieu de rappeler à ce stade que la survenance du cas d’assurance correspond, en règle générale, à l’ouverture du droit à la rente, soit au moment où l’assuré présente une incapacité de travail d’au moins 40% en moyenne depuis une année sans interruption notable (arrêt du Tribunal fédéral 9C_882/2009), et qu’une fois le délai d’attente écoulé, l’incapacité de gain perdure à 40% au moins.</w:t>
      </w:r>
    </w:p>
    <w:p>
      <w:r>
        <w:rPr>
          <w:b/>
        </w:rPr>
        <w:t>E. 12</w:t>
      </w:r>
    </w:p>
    <w:p>
      <w:r>
        <w:t>octobre 2017 de ce que jusqu’à fin février 2016, date de la fin de son suivi, la capacité de travail et la capacité de gain de celle-ci n’avaient pas diminué. Du reste, le médecin du SMR ne partage pas non plus l’avis de l’OAI puisqu’il a lui-même considéré, dans son avis du 19 avril 2018, que c’est depuis le diagnostic</w:t>
      </w:r>
    </w:p>
    <w:p>
      <w:r>
        <w:t>A/2918/2017 - 11/17 - que l’incapacité de travail est de 100% dans toute activité, et non depuis la crise d’épilepsie survenue en septembre 2015. La date de la survenance de l’invalidité ne saurait dès lors être fixée à septembre 2016.</w:t>
      </w:r>
    </w:p>
    <w:p>
      <w:r>
        <w:rPr>
          <w:b/>
        </w:rPr>
        <w:t>E. 13</w:t>
      </w:r>
    </w:p>
    <w:p>
      <w:r>
        <w:t>Dans sa décision du 7 juin 2017, l’OAI a fixé la date de la survenance de l’invalidité au mois de février 2017, le diagnostic ayant été posé en février 2016. L’intéressée ne conteste pas que le diagnostic ait été posé en février 2016, mais fait valoir que l’atteinte à la santé n’a eu d’influence sur sa capacité de travail et sa capacité de gain qu’à compter d’avril 2016. Elle considère que le fait de poser un diagnostic, quel qu’il soit, ne saurait rendre la personne automatiquement invalide, tant qu’elle ne présente pas de diminution de gain. Elle produit, à l’appui de ses allégations, un certificat du Prof. C______ du 2 septembre 2016. Il est vrai que ce certificat est succinct. Il se borne à attester d’une capacité de travail nulle dès le 20 avril 2016 pour une durée indéterminée. Dans son rapport du 15 juillet 2016 toutefois, le Prof. C______ est plus précis et décrit la chronologie des faits, comme suit : - septembre 2015 : crise d’épilepsie inaugurale, - février 2016 : pose du diagnostic - avril 2016 : apparition de troubles cognitifs et de troubles praxiques - mai 2016 : apparition de troubles psychotiques avec des troubles mnésiques, un délire de persécution et une totale dépendance Il explique le 10 avril 2018, sur demande de la chambre de céans, pour quelle raison il avait fixé le début de l’incapacité de travail au 20 avril 2016 : c’est à ce moment-là que sont apparus des troubles cognitifs et des troubles praxiques importants, perturbant fortement la vie quotidienne et de nature à empêcher la poursuite d’une activité professionnelle. Par ailleurs, le Dr D______ a indiqué en mars 2016 que l’intervention subie par l’intéressée en février 2016 avait eu une évolution favorable, sans complication en particulier neurologique et confirmé le 12 octobre 2017, qu’il avait traité et suivi l’intéressée jusqu’à fin février 2016, et que durant ce suivi, celle-ci n’avait présenté ni diminution de gain, ni perte d’autonomie liées à son affection médicale. On peut ajouter que selon sa demande d’allocation pour impotent, l’intéressée a besoin d’un accompagnement constant et d’aide depuis avril 2016 seulement.</w:t>
      </w:r>
    </w:p>
    <w:p>
      <w:r>
        <w:rPr>
          <w:b/>
        </w:rPr>
        <w:t>E. 14</w:t>
      </w:r>
    </w:p>
    <w:p>
      <w:r>
        <w:t>Le SMR relève le 19 septembre 2017 qu’il est vraisemblable qu’au vu de la taille de la tumeur, dont était atteinte l’intéressée, celle-ci était déjà visible en septembre 2015 lors de l’imagerie cérébrale, de sorte qu’il était urgent de traiter l’intéressée. Il peine dès lors à croire qu’à ce moment, une capacité de travail puisse être mise en évidence.</w:t>
      </w:r>
    </w:p>
    <w:p>
      <w:r>
        <w:t>A/2918/2017 - 12/17 - Interrogé à cet égard, le Prof. C______ a toutefois précisé que « Selon mon expérience, une crise d’épilepsie, ou même le diagnostic d’une tumeur cérébrale, n’implique pas automatiquement une incapacité de travail. En effet, de très nombreux patients poursuivent leur activité professionnelle, ayant eu une ou plusieurs crises d’épilepsie, ou avec un diagnostic de tumeur cérébrale, y compris de glioblastome. Par contre, l’apparition de troubles fonctionnels et neurologiques sévères est bien sûr synonyme la plupart du temps d’une incapacité de travail ».</w:t>
      </w:r>
    </w:p>
    <w:p>
      <w:r>
        <w:rPr>
          <w:b/>
        </w:rPr>
        <w:t>E. 15</w:t>
      </w:r>
    </w:p>
    <w:p>
      <w:r>
        <w:t>Force est de constater que les avis du Prof. C______ sont clairs, précis et viennent confirmer ceux du Dr D______, étant rappelé que tous deux sont spécialistes en neurochirurgie et oncologie. Ceux du médecin du SMR en revanche sont fondés sur des généralités et des probabilités. Il convient dès lors d’accorder aux avis du Prof. C______ et du Dr D______ valeur probante et de considérer que la survenance de l’invalidité peut être fixée, au degré de vraisemblance requis par la jurisprudence, au 20 avril 2017, soit une année après l’apparition des troubles conduisant à une incapacité de travail.</w:t>
      </w:r>
    </w:p>
    <w:p>
      <w:r>
        <w:rPr>
          <w:b/>
        </w:rPr>
        <w:t>E. 16</w:t>
      </w:r>
    </w:p>
    <w:p>
      <w:r>
        <w:t>À la date de la survenance de l’invalidité, l’intéressée était domiciliée en Suisse et soumise à l’obligation de cotiser à l’AVS-AI en tant que non active. Elle avait donc la qualité d’assurée au sens de l’art. 1a al. 1 let. a LAVS, selon lequel « les personnes physiques domiciliées en Suisse sont assurées à l’AVS ». Aux termes de l’art. 50 du règlement sur l'assurance-vieillesse et survivants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17</w:t>
      </w:r>
    </w:p>
    <w:p>
      <w:r>
        <w:t>La survenance de l’invalidité étant intervenue après l’entrée en vigueur de la 5ème révision, l’intéressée doit remplir la condition de la durée minimale de cotisations de trois années pour avoir droit à une rente d'invalidité. L’intéressée vit en Suisse depuis le 1er mars 2016. Elle a été affiliée rétroactivement auprès de la caisse cantonale genevoise de compensation et s’est s’acquittée de cotisations personnelles AVS-AI en tant que personne non active depuis le 1er mars 2016. L’intéressée ne compte ainsi pas trois ans de cotisations en Suisse lors de la survenance de l’invalidité. Elle a toutefois travaillé en Grèce plusieurs années avant de prendre sa retraite en juillet 2015.</w:t>
      </w:r>
    </w:p>
    <w:p>
      <w:r>
        <w:rPr>
          <w:b/>
        </w:rPr>
        <w:t>E. 18</w:t>
      </w:r>
    </w:p>
    <w:p>
      <w:r>
        <w:t>Aux termes du ch. 3005 de la Circulaire réglant la procédure de fixation des rentes selon le droit suisse par rapport aux États de l’UE, d’une part, de l’AELE, d’autre part, (CIBIL), « si la durée minimale de cotisation de trois ans n’est pas remplie au moyen des périodes d’assurance suisses, il faut, pour les citoyens suisses ou les ressortissants d’un État de l’UE, tenir compte des périodes de cotisation accomplies au sein d’un État de l’UE (art. 6 R 883/04) ».</w:t>
      </w:r>
    </w:p>
    <w:p>
      <w:r>
        <w:t>A/2918/2017 - 13/17 - L’ALCP, entré en vigueur le 1er juin 2002, est notamment applicable aux ressortissants des États membres de l'Union européenne et de la Suisse. Il prévoit, à son art. 8, que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 Selon l'art. 1er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Une décision n° 1/2012 du Comité mixte du 31 mars 2012 (RO 2012 2345) a actualisé le contenu de l'annexe II à l'ALCP avec effet, pour la Suisse, au 1er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L’annexe II de l’ALCP a donc été modifiée dans ce sens. Selon la jurisprudence constante, doivent être prises en compte les modifications de l'état de fait ou de droit survenues jusqu'au prononcé de la décision administrative (ATF 128 V 315 consid. 1). Cela correspond également à l'art. 94 par. 1 du règlement (CE) n° 987/2009 du Parlement européen et du Conseil du 16 septembre 2009 fixant les modalités d'application du règlement n°883/2004.</w:t>
      </w:r>
    </w:p>
    <w:p>
      <w:r>
        <w:rPr>
          <w:b/>
        </w:rPr>
        <w:t>E. 19</w:t>
      </w:r>
    </w:p>
    <w:p>
      <w:r>
        <w:t>En l'occurrence, l’intéressée est ressortissante d'un État partie à l'ALCP, de sorte que le litige relève de la coordination européenne des systèmes nationaux de sécurité sociale. Dès lors que son droit à la rente est né en avril 2017, le règlement n° 883/2004 lui est applicable. Selon l’art. 44 ch. 1 de ce règlement, celui-ci distingue entre les « législations de type A » et les « législations de type B ». Est une « législation de type A » toute législation en vertu de laquelle le montant des prestations d’invalidité est indépendant de la durée des périodes d’assurance ou de résidence et qui était expressément incluse par l’État membre compétent dans l’annexe VI. La « législation de type B » reprend toute autre législation. La Suisse a une législation</w:t>
      </w:r>
    </w:p>
    <w:p>
      <w:r>
        <w:t>A/2918/2017 - 14/17 - de « type B » pour ce qui concerne le calcul des rentes, dès lors qu’elle tient uniquement compte des périodes de cotisations payées au régime suisse. Par renvoi de l’art. 46 ch. 1 du règlement (CE) 833/2004, l’art. 50 de ce règlement s’applique, selon lequel les institutions compétentes déterminent le droit aux prestations en vertu de toutes les législations des États membres auxquels l’intéressé a été soumis, lorsqu’une demande de liquidation a été introduite. Ainsi, s’applique au droit aux prestations en l’occurrence la législation suisse, à savoir la LAI et ses règlements, ainsi que, par renvoi, la LAVS. Le calcul autonome des rentes ne constitue pas une discrimination au sens de l'art. 2 ALCP (ATF 131 V 371 consid. 6, 8.2 et 9.4; ATF 131 V 390 consid. 7.3.1; ATF 130 V 51 consid. 5.4).</w:t>
      </w:r>
    </w:p>
    <w:p>
      <w:r>
        <w:rPr>
          <w:b/>
        </w:rPr>
        <w:t>E. 20</w:t>
      </w:r>
    </w:p>
    <w:p>
      <w:r>
        <w:t>Il convient à ce stade d’examiner la question de savoir si l’intéressée peut être mise au bénéfice des dispositions éventuellement plus favorables de la Convention de sécurité sociale du 1er juin 1973 entre la Suisse et la Grèce (RS 0.831.109.372.1), en lieu et place de celles de l'ALCP qui renvoient à la législation nationale. Les périodes d’assurance étrangères ne sont en effet prises en compte que dans la mesure où une convention de sécurité sociale le prévoit expressément (n° 5043 des Directives de l’office fédéral des assurances sociales [OFAS] sur les rentes de l'assurance vieillesse, survivants et invalidité fédérale [DR]). La Suisse a conclu, notamment avec la Grèce, un système de convention, dite de « type A » qui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 celle-ci est versée par l'assurance à laquelle l'assuré était affilié lors de la survenance de l'invalidité, qui prend en compte, pour la détermination de l'échelle de rente, la totalité des périodes de cotisations, y compris celles qui ont été accomplies dans l'autre État ; étant précisé que le calcul du revenu moyen déterminant ne tient compte que des seuls gains réalisés en Suisse (voir ATF 130 V 247 consid. 4 ; FF 1973 II 78 ; OFAS, Principales règles concernant les rentes AVS et AI dans les conventions internationales conclues par la Suisse, RCC 1982, pp. 341 et 342). En matière de sécurité sociale, sous le titre « Relation avec les accords bilatéraux en matière de sécurité sociale », l'art. 20 ALCP prévoit que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Toutefois, le principe de la suspension des conventions bilatérales souffre des exceptions. Ainsi, la suspension ne vaut que pour les personnes qui entrent dans le champ d'application matériel et personnel des règles communautaires. En outre, certaines des dispositions des conventions mentionnées à l'annexe II à l'ALCP restent pertinentes, conformément à l'art. 7 par. 2 let. c du règlement n° 1408/71 et à</w:t>
      </w:r>
    </w:p>
    <w:p>
      <w:r>
        <w:t>A/2918/2017 - 15/17 - son annexe III. Il s'agit pour l'essentiel des règles conventionnelles qui exigent l'exportation des prestations en espèces vers un État tiers (ATF 130 V 57 consid. 2.2). Ces exceptions n'entrent pas en considération en l'espèce. Selon la jurisprudence de la Cour de justice des communautés européennes (ci- après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(ATF 132 V 53 consid. 7.2 ; ATF 130 V 154 consid. 7.2). Cette jurisprudence de la CJCE repose sur le principe que l'application du règlement n° 1408/71 ne doit pas conduire à la perte d'avantages de sécurité sociale résultant de conventions de sécurité sociale en vigueur entre deux ou plusieurs États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du 9 novembre 1995, Thévenon, C 475/93, Rec. 1995, p. I-3813, points 25 et 26; du 9 novembre 2000, Thelen, C 75/99, Rec. 2000, p. I-9399; du 5 février 2002, Kaske, C-277/99, Rec. 2002, p. I-1261, point 28). Pendant plusieurs années, le Tribunal fédéral des assurances a laissé indécis le point de savoir si cette jurisprudence développée en application du traité était transposable à l'ALCP (voir notamment ATF 132 V 53 consid. 7.2, ATF 130 V 155 consid. 7.3 et 7.4, 131 V 371 consid. 2.6 et 10.1). À l’ATF 133 V 329, le Tribunal fédéral a finalement examiné si la jurisprudence précitée de la CJCE pouvait être appliquée par le juge suisse avec l'entrée en vigueur de l'ALCP. Le Tribunal fédéral a notamment rappelé que lorsque les principes de l'ALCP en matière de sécurité sociale recouvraient des notions de droit communautaire, avec une même finalité, l'interprétation qui en découlait devait, en règle ordinaire, être considérée comme faisant partie de l'acquis communautaire que la Suisse s’était engagée à reprendre, sous réserve que la jurisprudence en cause fût antérieure à la date de la signature de l'accord (art. 16 al. 2 ALCP; ATF 130 II 113 consid. 6.5). Le Tribunal fédéral a ainsi estimé que les conventions de sécurité sociale plus favorables dans un cas concret étaient applicables, pour autant que l'intéressé ait exercé son droit à la libre circulation avant l'entrée en vigueur pour la Suisse de l'ALCP et du règlement n° 1408/71 auquel renvoie l'accord (ATF 133 V 329 consid. 8.6.4). Les mêmes règles s’appliquent mutatis mutandis au règlement n° 883/2004, applicable pour la Suisse dès le 1er avril 2012.</w:t>
      </w:r>
    </w:p>
    <w:p>
      <w:r>
        <w:t>A/2918/2017 - 16/17 -</w:t>
      </w:r>
    </w:p>
    <w:p>
      <w:r>
        <w:rPr>
          <w:b/>
        </w:rPr>
        <w:t>E. 21</w:t>
      </w:r>
    </w:p>
    <w:p>
      <w:r>
        <w:t>En l’espèce, l’intéressée est venue en Suisse, en mars 2016, soit après l’entrée en vigueur de l’ALCP et du Règlement 883/04. Or, en érigeant l'exercice du droit à la libre circulation avant le 1er juin 2002 à titre de condition d'application d'une disposition plus favorable d'une convention bilatérale, le Tribunal fédéral a clairement exclu l'application de celle-ci lorsque ce droit est exercé après cette date. Les conditions d’application de la convention bilatérale entre la Suisse et la Grèce n’étant pas remplies, le droit de l’intéressée se détermine en application de la législation suisse.</w:t>
      </w:r>
    </w:p>
    <w:p>
      <w:r>
        <w:rPr>
          <w:b/>
        </w:rPr>
        <w:t>E. 22</w:t>
      </w:r>
    </w:p>
    <w:p>
      <w:r>
        <w:t>Force est, partant, de constater que l’intéressée ne remplit pas la condition de la durée minimale de cotisations de trois années pour avoir droit à une rente d'invalidité lors de la survenance de l’invalidité.</w:t>
      </w:r>
    </w:p>
    <w:p>
      <w:r>
        <w:rPr>
          <w:b/>
        </w:rPr>
        <w:t>E. 23</w:t>
      </w:r>
    </w:p>
    <w:p>
      <w:r>
        <w:t>Aussi le recours est-il rejeté.</w:t>
      </w:r>
    </w:p>
    <w:p>
      <w:r>
        <w:t>A/2918/2017 - 17/17 -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