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ATAS/657/2008 vom 29. Mai 2008</w:t>
      </w:r>
    </w:p>
    <w:p>
      <w:r>
        <w:t>GE Cour de justice, 2008-05-29, FR</w:t>
      </w:r>
    </w:p>
    <w:p>
      <w:r>
        <w:rPr>
          <w:b/>
        </w:rPr>
        <w:t xml:space="preserve">Quelle: </w:t>
      </w:r>
      <w:r>
        <w:t>https://mcp.opencaselaw.ch/entscheid/ge_gerichte_ATAS_657_2008</w:t>
      </w:r>
    </w:p>
    <w:p>
      <w:r>
        <w:t>FR: GE_GERICHTE ATAS/657/2008 du 29 mai 2008</w:t>
      </w:r>
    </w:p>
    <w:p>
      <w:r>
        <w:t>IT: GE_GERICHTE ATAS/657/2008 del 29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b)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A/3797/2007 - 8/12 -</w:t>
      </w:r>
    </w:p>
    <w:p>
      <w:r>
        <w:rPr>
          <w:b/>
        </w:rPr>
        <w:t>E. 3</w:t>
      </w:r>
    </w:p>
    <w:p>
      <w:r>
        <w:t>Interjeté dans les forme et délai légaux (art. 56 à 60 LPGA), le recours est recevable.</w:t>
      </w:r>
    </w:p>
    <w:p>
      <w:r>
        <w:rPr>
          <w:b/>
        </w:rPr>
        <w:t>E. 4</w:t>
      </w:r>
    </w:p>
    <w:p>
      <w:r>
        <w:t>En l'espèce, la capacité de travail du recourant n'est pas contestée. Il a été établi qu'il pourrait exercer une activité adaptée, telle que décrite dans le rapport du CIP, à plein temps avec une diminution de rendement de 30%. Seule reste litigieuse la question du calcul du degré d'invalidité, en particulier le montant retenu à titre de revenu avant invalidité et celui retenu à titre de revenu d'invalide.</w:t>
      </w:r>
    </w:p>
    <w:p>
      <w:r>
        <w:rPr>
          <w:b/>
        </w:rPr>
        <w:t>E. 5</w:t>
      </w:r>
    </w:p>
    <w:p>
      <w:r>
        <w:t>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w:t>
      </w:r>
    </w:p>
    <w:p>
      <w:r>
        <w:t>A/3797/2007 - 9/12 -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Le juge des assurances sociales ne peut, sans motifs pertinents, substituer son appréciation à celle de l'administration sans raisons valables ; il doit donc pouvoir se fonder sur des éléments qui font apparaître que son appréciation différente est mieux appropriée à la situation (VSI 2000 consid. 6 p. 322; ATF 126 V 81 consid. 6). Une déduction globale maximum de 25 % sur le salaire statistique permet de tenir compte des différents éléments qui peuvent influencer le revenu d'une activité lucrative (cf. ATF 126 V 78 consid. 5), étant précisé que l’évaluation de la capacité de travail tient déjà compte du handicap et du fait que le rendement pourrait être diminué et qu'invoquer dès lors le handicap comme motif de déduction reviendrait à tenir compte pour la seconde fois de l’atteinte à la santé (ATFA I 412/03 du 10 octobre 2003 consid. 6.2) d)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6</w:t>
      </w:r>
    </w:p>
    <w:p>
      <w:r>
        <w:t>a) En l’espèce, le recourant a travaillé de nombreuses années en tant que plâtrier. Dans le but de déterminer sa rémunération au moment de l’ouverture éventuelle du droit aux prestations, soit en 2004, l’intimé a requis des informations de l’ancien employeur. Cette façon de faire est correcte et les renseignements obtenus pertinents, dans la mesure où rien de permet de penser que sans l’atteinte à la santé, le recourant aurait changé d’emploi. Il ressort de l’instruction menée par l’administration que le revenu annuel qu’aurait perçu l’intéressé en 2004 se monte à 70'395 fr. Le recourant ne demande plus, à ce stade de la procédure, que soient prises en compte les indemnités d'intempéries et de paniers, à juste titre vu les explications fournies par la division de réadaptation de l'OCAI à cet égard. Il n'y a donc pas lieu d'y revenir ici. Le recourant prétend cependant que le montant de son revenu avant invalidité devrait être augmenté des indemnités pour jours fériés d'une part, des heures supplémentaires qu'il avait l'habitude de fournir, d'autre part.</w:t>
      </w:r>
    </w:p>
    <w:p>
      <w:r>
        <w:t>A/3797/2007 - 10/12 - Le recourant ne saurait être suivi sur ces points. En effet, il ressort du dossier que, renseignements pris auprès de l'entreprise, les jours fériés n'étaient pas payés en sus du salaire mensuel mais en réalité décomptés dans la rubrique "réduction de salaire pour absence". La mention "jours fériés" apparaissant sur les fiches de salaire ne correspond en réalité qu'à une inscription comptable de l'entreprise, le paiement des jours fériés découlant d'un fonds différent de celui des heures de travail. Quant aux heures variables, il est apparu qu'en 2002, l'employé les a régulièrement compensées par des jours de congé et n'a reçu finalement qu'un solde de 1'350 fr. en janvier 2003 qui compensait ses absences du même mois. Les heures variables n'équivalent donc pas à une somme d'argent supplémentaire versée au salarié. Cela est d'ailleurs démontré, ainsi que l'a relevé l'intimé, par le fait que le salaire annuel de l'assuré en 2002 s'est élevé à 62'016 fr. pour 1'695 heures de travail, alors qu'en annualisant le salaire sur la base mensuelle (13 x 5'330 fr), on obtient un salaire plus élevé (69'290 fr.), qu'a d'ailleurs retenu l'intimé. Il ressort des considération qui précèdent que c'et à juste titre que l'intimé a retenu un revenu avant invalidité de 70'395 fr. (5'415 fr. par mois selon le questionnaire de son dernier employeur). b) Quant au revenu avec invalidité, en l’absence de reprise d’activité du recourant, il convient de se référer aux salaires statistiques tels qu’ils découlent de l’enquête suisse sur la structure des salaires éditée par l’Office fédéral de la statistique (ESS). L'intimé s'est référé aux conclusions du CIP pour retenir à titre de professions envisageables celles d'ouvrier à l'établi, d'employé dans le conditionnement léger ou de gardien de musée. L'OCAI a ainsi retenu à titre de salaire d'invalide celui que le recourant aurait pu réaliser théoriquement en 2004 en exerçant à 70% une profession d'ouvrier non qualifié dans l'industrie légère soit 38'350 fr. (ESS 2002, TA1, niveau 4, industries légères : 10-45 : 4'798.- par mois pour un horaire de 40 h./sem. = 5'002.- par mois pour un horaire de 41,7 h./sem. = 60'023.- en 2002 = 60'873.- en 2004 = 42'611.- à 70% = 38'350 fr. après réduction de 10%). L'OCAI a appliqué une réduction de 10% pour tenir compte de l'âge de l'assuré.</w:t>
      </w:r>
    </w:p>
    <w:p>
      <w:r>
        <w:t>Reste à examiner s'il se justifie d'appliquer, comme le demande le recourant, une réduction plus élevée. Ainsi que l'a relevé l'intimé, il a déjà été tenu compte des limitations fonctionnelles du recourant dans la fixation de sa capacité de travail (à 70%). Il n'en demeure pas moins que le recourant accumule plusieurs des autres critères retenus par le Tribunal fédéral pour admettre une réduction, à savoir l'âge, le nombre d'années de service, la nationalité étrangère et le fait de devoir travailler à temps partiel. S'il est vrai que le juge des assurances sociales ne peut, sans motifs pertinents, substituer son appréciation à celle de l'administration sans raisons valables, il apparaît en l'occurrence que de telles raisons existent. Une réduction de 10%</w:t>
      </w:r>
    </w:p>
    <w:p>
      <w:r>
        <w:t>A/3797/2007 - 11/12 - apparaît en effet insuffisante pour tenir compte de l'ensemble de ces facteurs. Compte tenu du fait que l'assuré n'a jamais travaillé dans un autre domaine que le sien, qu'il n'est plus qu'à quelques années de la retraite, qu'il rencontrera des difficultés certaines à être payé comme un employé en possession de tous ses moyens compte tenu de sa diminution de rendement, il convient bien plutôt, compte tenu de la jurisprudence du Tribunal de céans à laquelle le recourant se réfère (ATAS 428/2004 du 2 juin 2004; ATAS 406/2007 du 17 avril 2007; ATAS 711/06 du 22 août 2006) de porter la réduction à 20%. Comparé au revenu avant invalidité, de 70'395 fr., le gain avec invalidité, de 34'088 fr. fait apparaître un taux d'incapacité de gain de 51.57 % suffisant pour ouvrir le droit à une demi-rente.</w:t>
      </w:r>
    </w:p>
    <w:p>
      <w:r>
        <w:rPr>
          <w:b/>
        </w:rPr>
        <w:t>E. 7</w:t>
      </w:r>
    </w:p>
    <w:p>
      <w:r>
        <w:t>Eu égard aux considérations qui précèdent, le recours est admis en ce sens que le droit à un quart de rente de l'assuré est porté à une demi-rente.</w:t>
      </w:r>
    </w:p>
    <w:p>
      <w:r>
        <w:t>A/3797/2007 - 12/12 -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