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ATAS/656/2023 vom 1. September 2023</w:t>
      </w:r>
    </w:p>
    <w:p>
      <w:r>
        <w:t>GE Cour de justice, 2023-09-01, FR</w:t>
      </w:r>
    </w:p>
    <w:p>
      <w:r>
        <w:rPr>
          <w:b/>
        </w:rPr>
        <w:t xml:space="preserve">Quelle: </w:t>
      </w:r>
      <w:r>
        <w:t>https://mcp.opencaselaw.ch/entscheid/ge_gerichte_ATAS_656_2023</w:t>
      </w:r>
    </w:p>
    <w:p>
      <w:r>
        <w:t>FR: GE_GERICHTE ATAS/656/2023 du 1 septembre 2023</w:t>
      </w:r>
    </w:p>
    <w:p>
      <w:r>
        <w:t>IT: GE_GERICHTE ATAS/656/2023 del 1 settembre 2023</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t>A/4093/2022 - 7/14 - Sa compétence pour juger du cas d’espèce est ainsi établie.</w:t>
      </w:r>
    </w:p>
    <w:p>
      <w:r>
        <w:rPr>
          <w:b/>
        </w:rPr>
        <w:t>E. 1.2</w:t>
      </w:r>
    </w:p>
    <w:p>
      <w:r>
        <w:t>Le délai de recours est de trente jours (art. 56 LPGA ; art. 62 al. 1 de la loi sur la procédure administrative du 12 septembre 1985 [LPA - E 5 10]). Interjeté dans la forme et le délai prévus par la loi, le recours est recevable (art. 56 ss LPGA et 62 ss LPA).</w:t>
      </w:r>
    </w:p>
    <w:p>
      <w:r>
        <w:rPr>
          <w:b/>
        </w:rPr>
        <w:t>E. 2.1</w:t>
      </w:r>
    </w:p>
    <w:p>
      <w:r>
        <w:t>Le litige porte sur le droit du recourant à une indemnité de chômage à compter du 27 mai 2022, singulièrement sur le point de savoir si celui-ci a subi une perte de travail à prendre en considération.</w:t>
      </w:r>
    </w:p>
    <w:p>
      <w:r>
        <w:rPr>
          <w:b/>
        </w:rPr>
        <w:t>E. 2.2</w:t>
      </w:r>
    </w:p>
    <w:p>
      <w:r>
        <w:t>Il sied de relever qu'à la fin de la décision litigieuse, l'intimée a inséré une communication concernant exclusivement les délais-cadre précédents (du 3 juillet 2019 au 16 août 2021). Cette communication doit être considérée comme une simple information à l'attention du recourant. Comme indiqué par l'intimée dans la décision sur opposition du 27 octobre 2022, les délais-cadre précédents, auxquels elle s'est référée en indiquant qu'ils étaient en cours d'examen, ne font pas l'objet de la décision litigieuse et ne sont d'ailleurs pas discuté dans le recours. Or,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414 consid. 1a ; ATF 119 lb 36 consid. 1b et les références citées).</w:t>
      </w:r>
    </w:p>
    <w:p>
      <w:r>
        <w:rPr>
          <w:b/>
        </w:rPr>
        <w:t>E. 2.3</w:t>
      </w:r>
    </w:p>
    <w:p>
      <w:r>
        <w:t>Ainsi, la chambre de céans se limitera à la question d'un éventuel délai-cadre d'indemnisation dès le 27 mai 2022, singulièrement sur le point de savoir si l’assuré a subi une perte de travail à prendre en considération.</w:t>
      </w:r>
    </w:p>
    <w:p>
      <w:r>
        <w:rPr>
          <w:b/>
        </w:rPr>
        <w:t>E. 3.1</w:t>
      </w:r>
    </w:p>
    <w:p>
      <w:r>
        <w:t>Selon l'art. 8 al. 1 LACI, l'assuré a droit à l'indemnité de chômage :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 s'il est apte au placement (let. f) ; et s'il satisfait aux exigences du contrôle (let. g).</w:t>
      </w:r>
    </w:p>
    <w:p>
      <w:r>
        <w:rPr>
          <w:b/>
        </w:rPr>
        <w:t>E. 3.2</w:t>
      </w:r>
    </w:p>
    <w:p>
      <w:r>
        <w:t>Ces conditions sont cumulatives (ATF 124 V 218 consid. 2). Elles sont précisées par plusieurs dispositions de la LACI et de l’ordonnance sur l’assurance-chômage obligatoire et l’indemnité en cas d’insolvabilité du 31 août 1983 (OACI – RS 837.02), et – dans les limites d’admissibilité de telles directives administratives (ATF 144 V 202 ; ATF 144 V 195 ; ATAS/509/2021 du</w:t>
      </w:r>
    </w:p>
    <w:p>
      <w:r>
        <w:t>A/4093/2022 - 8/14 - 18 novembre 2014 consid. 4 et les réf.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IC).</w:t>
      </w:r>
    </w:p>
    <w:p>
      <w:r>
        <w:rPr>
          <w:b/>
        </w:rPr>
        <w:t>E. 4.1</w:t>
      </w:r>
    </w:p>
    <w:p>
      <w:r>
        <w:t>Selon l’art. 10 LACI, est réputé sans emploi celui qui n’est pas partie à un rapport de travail et qui cherche à exercer une activité à plein temps (al. 1). Selon l’alinéa 2 de cette disposition, est réputé partiellement sans emploi celui qui n’est pas partie à un rapport de travail et cherche à n’exercer qu’une activité à temps partiel (let. a), ou occupe un emploi à temps partiel et cherche à le remplacer par une activité à plein temps ou à le compléter par une autre activité à temps partiel (let. b). N’est pas réputé partiellement sans emploi celui qui, en raison d’une réduction passagère de l’horaire de travail, n’est pas occupé normalement (al. 2bis). Celui qui cherche du travail n’est réputé sans emploi ou partiellement sans emploi que s’il s’est inscrit aux fins d’être placé (al. 3). Aux termes de l’art. 11 al. 1 LACI, il y a lieu de prendre en considération la perte de travail lorsqu’elle se traduit par un manque à gagner et dure au moins deux journées de travail consécutives. À cet égard, l’art. 4 OACI précise qu’est réputée jour entier de travail, la cinquième partie de la durée hebdomadaire du travail que l’assuré a normalement accomplie durant son dernier rapport de travail. La perte de travail des assurés partiellement sans emploi au sens de l’art. 10 al. 2 let. b LACI est prise en considération lorsqu’elle s’élève au moins à deux jours entiers de travail en l’espace de deux semaines (art. 5 OACI).</w:t>
      </w:r>
    </w:p>
    <w:p>
      <w:r>
        <w:rPr>
          <w:b/>
        </w:rPr>
        <w:t>E. 4.2</w:t>
      </w:r>
    </w:p>
    <w:p>
      <w:r>
        <w:t>Selon la jurisprudence, la perte de travail est calculée en règle générale en fonction de l'horaire de travail habituel dans la profession ou le domaine d'activité concernés ou, le cas échéant, en fonction de l'horaire de travail prévu par une convention particulière. En cas de travail sur appel, le travailleur ne subit, en principe, pas de perte de travail, respectivement pas de perte de gain à prendre en considération lorsqu'il n'est pas appelé, car le nombre de jours où il est amené à travailler est considéré comme normal.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(arrêt du Tribunal fédéral 8C_812/2017 du 23 août 2018 consid. 5.3.1 et les références).</w:t>
      </w:r>
    </w:p>
    <w:p>
      <w:r>
        <w:rPr>
          <w:b/>
        </w:rPr>
        <w:t>E. 4.3</w:t>
      </w:r>
    </w:p>
    <w:p>
      <w:r>
        <w:t>Le contrat de travail sur appel est un rapport de travail généralement de durée indéterminée qui se caractérise par le fait que le temps de travail est irrégulier. Le travailleur s'engage à exercer une activité lorsque l'employeur requiert ses services. Le nombre d'heures de travail rémunéré varie donc selon les exigences</w:t>
      </w:r>
    </w:p>
    <w:p>
      <w:r>
        <w:t>A/4093/2022 - 9/14 - ou besoins de l'employeur (chiffre B95 concernant le contrat de travail sur appel du bulletin LACI IC, établi par le SECO). Sous chiffres B95 ss du bulletin LACI IC, le SECO a établi des critères afin de trancher le point de savoir si l'activité exercée est suffisamment régulière au sens de la jurisprudence précitée. Pour établir le temps de travail normal, on prendra en principe pour période de référence les douze derniers mois ou toute la durée du rapport de travail s'il a duré moins de douze mois ; en dessous de six mois d'occupation, il est impossible de déterminer un temps de travail normal. Pour qu'un temps de travail puisse être présumé normal, il faut que ses fluctuations mensuelles ne dépassent pas 20%, en plus ou en moins, du nombre moyen des heures de travail fournies mensuellement pendant la période d'observation de douze mois ou 10% si cette période est de six mois seulement ; si la période d'observation est inférieure à douze mois mais supérieure à six, le taux plafond des fluctuations admises sera proportionnellement ajusté si les fluctuations dépassent ne serait-ce qu'un seul mois le plafond admis, il ne peut plus être question d'un temps de travail normal et, en conséquence, la perte de travail et la perte de gain ne peuvent pas être prises en considération. Lorsque le rapport de travail a duré au moins deux ans, il est justifié, conformément à la jurisprudence du Tribunal fédéral, de prolonger la période de référence au-delà de douze mois. Dans ce cas, il convient de prendre en compte le nombre d'heures de travail annuel et les fluctuations par rapport à la moyenne annuelle. Il faut donc se fonder sur le nombre d'heures de travail accompli par année (rétroactivement à partir de la date d'inscription au chômage) et examiner dans quelle mesure celui-ci s'écarte de la moyenne annuelle, soit du nombre moyen des heures accomplies annuellement. La caisse se fonde, au maximum, sur les cinq années précédant la baisse de travail (chiffre B97 du bulletin LACI IC). S'il est possible de déterminer un temps de travail normal à partir de l'examen des comparaisons mensuelles des heures de travail, une vérification supplémentaire, au moyen de la comparaison annuelle, n'est pas nécessaire en cas de rapport de travail ayant duré plusieurs années (chiffre B97 du bulletin LACI IC).</w:t>
      </w:r>
    </w:p>
    <w:p>
      <w:r>
        <w:rPr>
          <w:b/>
        </w:rPr>
        <w:t>E. 4.4</w:t>
      </w:r>
    </w:p>
    <w:p>
      <w:r>
        <w:t>Le Tribunal fédéral a admis que la méthode d'évaluation du SECO est appropriée en ce qui concerne les contrats de travail sur appel d'une relativement courte durée (cf. arrêt du Tribunal fédéral 8C_417/2013 du 30 décembre 2013 consid. 5.2.2). Pour une activité d'environ deux ans, une période de référence de douze mois a été jugée adéquate (cf. arrêt 8C_812/2017 précité consid. 5.3.2 et la référence). Dans le cas de rapports de travail s'étendant sur plusieurs années, le Tribunal fédéral a considéré qu'il convenait de prendre en compte le nombre d'heures de travail annuel et les fluctuations par rapport à la moyenne annuelle (arrêts du Tribunal fédéral 8C 379/2010 du 28 février 2011 consid. 2.2.2 ; C 9/06 du 12 mai 2006 consid. 3.3).</w:t>
      </w:r>
    </w:p>
    <w:p>
      <w:r>
        <w:t>A/4093/2022 - 10/14 -</w:t>
      </w:r>
    </w:p>
    <w:p>
      <w:r>
        <w:rPr>
          <w:b/>
        </w:rPr>
        <w:t>E. 5</w:t>
      </w:r>
    </w:p>
    <w:p>
      <w:r>
        <w:t>Lorsqu'il est amené à qualifier ou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S'il y parvient, le juge procède à une constatation de fait qui ne peut être contestée, en instance fédérale, que dans la mesure restreinte permise par l'art. 97 al. 1 LTF. Déterminer ce que les parties savent ou veulent au moment de conclure relève en effet de la constatation des faits (ATF 140 III 86 consid. 4.1). Au stade des déductions à opérer sur la base d'indices, lesquels relèvent eux aussi de la constatation des faits (ATF 139 II 316 consid. 8 ; 136 III 486 consid. 5 ; 128 III 390 consid, 4.3.3), le comportement que les cocontractants ont adopté dans l'exécution de leur accord peut éventuellement dénoter de quelle manière ils l'ont eux-mêmes compris, et révéler par-là leur réelle et commune intention (ATF 143 III 157 consid. 1.2.2 ; 132 III 626 consid. 3.1 ; 129 111 675 consid. 2.3).</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130 111 321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6.2</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w:t>
      </w:r>
    </w:p>
    <w:p>
      <w:r>
        <w:t>A/4093/2022 - 11/14 - vraisemblance prépondérante, à la réalité (ATF 139 V 176 consid. 5.2 et les références).</w:t>
      </w:r>
    </w:p>
    <w:p>
      <w:r>
        <w:rPr>
          <w:b/>
        </w:rPr>
        <w:t>E. 7.1</w:t>
      </w:r>
    </w:p>
    <w:p>
      <w:r>
        <w:t>En l'espèce, l'existence d'un contrat de travail sur appel au DIP depuis le 18 octobre 2010 et le fait qu'il soit encore en vigueur n'est pas contesté. Ainsi, conformément à la jurisprudence précitée (cf. supra consid 4.2) et au chiffre B96 du bulletin LACI IC, le recourant ne subit en principe pas de perte de travail sur la base de son travail, car il est soumis à un rapport de travail où l'horaire irrégulier est considéré comme normal. Le recourant se prévaut du fait qu'il a effectué un remplacement au Collège de B______ du 7 octobre 2021 au 11 février 2022, qu'il considère être constitutif d'un contrat de durée déterminée. Il aurait ainsi subi une perte de travail en relation avec la fin de ce contrat, lequel prévoyait un horaire régulier. Cette position ne saurait toutefois être suivie. Il ressort en effet clairement du courriel du 22 décembre 2021, produit par le recourant, que le directeur du Collège de B______ n'était pas en mesure de savoir exactement quand l'enseignant titulaire reviendrait à son poste, ne pouvant ainsi pas lui assurer la poursuite du remplacement jusqu'à une date déterminée. Certes, le recourant se tenait à disposition pour poursuivre ce remplacement mais dans la mesure où le directeur avait la possibilité d'y mettre un terme dès le moment où le congé maladie de l'enseignant titulaire prendrait fin, il apparait que ces rapports de travail s'inscrivent dans le cadre du contrat de travail sur appel en cours depuis le 18 octobre 2010, et non d'un contrat de durée déterminée à part entière. En outre, comme le relève le recourant, les heures de remplacement effectuées du 7 octobre 2021 au 11 février 2022 sont recensées dans le calendrier d'heures de travail sur appel établi par l'office du personnel de l'État, ce qui n'est pas le cas de celles du remplacement de longue durée du 23 mars au 26 juin 2015, ni de celui du 1er février au 30 juin 2017, ayant chacun fait l'objet d'un contrat de droit privé à part entière. Cet élément va également dans le sens d'un remplacement effectué dans le cadre du contrat de travail sur appel. Le fait que le directeur du Collège de B______ mentionne dans l'attestation du 18 mars 2022 que le recourant a effectué un remplacement de longue durée n'est pas déterminant, puisque cette attestation a été établie après ledit remplacement et que, quoi qu'en dise le directeur, il ressort de son courriel du 22 décembre 2021 qu'il ne savait pas encore à ce moment-là si le remplacement pourrait se poursuivre. Force est ainsi de retenir que les heures de remplacement effectuées par le recourant du 7 octobre 2021 au 11 février 2022 1'ont été dans le cadre d’un contrat de travail sur appel.</w:t>
      </w:r>
    </w:p>
    <w:p>
      <w:r>
        <w:rPr>
          <w:b/>
        </w:rPr>
        <w:t>E. 7.2</w:t>
      </w:r>
    </w:p>
    <w:p>
      <w:r>
        <w:t>Il convient donc d’examiner si une perte de travail peut être exceptionnellement retenue. Cette question implique de déterminer si l’activité exercée par l’intéressé au bénéfice d’un contrat de travail sur appel est suffisamment régulière au sens de la jurisprudence précitée.</w:t>
      </w:r>
    </w:p>
    <w:p>
      <w:r>
        <w:t>A/4093/2022 - 12/14 - C'est le lieu de préciser que, contrairement à ce que soutient l'intimée, l'arrêt 8C_778/2019 du 11 mars 2020 du Tribunal fédéral ne s'applique pas à la présente espèce. Cette jurisprudence, partiellement publiée aux ATF 146 V 112, vise en effet les situations dans lesquelles le travail sur appel est effectué dans le seul but de réduire le manque à gagner résultant du chômage. Or, dans le cas présent, le recourant est lié à son employeur par un contrat de travail sur appel depuis 2010 et ne poursuit clairement pas son activité sur appel dans le seul but de réduire le dommage au chômage. Il n'y a dès lors pas lieu de limiter à ce stade, sur la base de cette jurisprudence, le droit aux prestations du recourant à la durée d'un seul délai-cadre d'indemnisation. On relèvera par ailleurs que, contrairement à ce que soutient le recourant, il y a lieu de tenir compte des heures de remplacement effectuées au Collègue de B______ du 7 octobre 2021 au 11 février 2022, dans la mesure où, comme on l’a vu, celles-ci s’inscrivent dans le cadre de son contrat de travail sur appel. En application du chiffre 97 du bulletin LACI IC, il y a lieu d'abord de vérifier si la variation mensuelle du nombre d'heures de travail sur appel, durant une période de référence de douze mois, ne dépasse pas la limite admissible de 20%. En outre, si la variation dépasse cette limite, dans la mesure où les relations de travail sur appel du recourant durent depuis plus de dix ans, il sied encore de procéder à une vérification supplémentaire, au moyen d'une comparaison annuelle sur une période de référence de cinq ans. En l’occurrence, le recourant invoquant une diminution de son activité dès « février/mars 2022 », la période de référence doit courir jusqu'au mois de janvier 2022 inclus. Par ailleurs, il n'y a pas lieu de tenir compte des mois de juillet et août durant lesquels l'intéressé n'a, de manière constante, jamais été appelé depuis le début de ses relations de travail sur appel, en raison des vacances scolaires. La période de référence de douze mois s'étend ainsi de décembre 2020 à janvier 2022, à l'exclusion des mois de juillet et août 2021. Il ressort du dossier, soit des décomptes d'heures non contestés retenus par l'intimée, que le recourant a effectué : 0h00 en décembre 2020 ; 2h00 en janvier 2021 ; 5h00 en février 2021 ; 4h00 en mars 2021 ; 2h00 en avril 2021 ; 10h00 en mai 2021 ; 0h00 en juin 2021 ; 44h50 en septembre 2021 ; 61h50 en octobre 2021 ; 96h35 en novembre 2021 ; 67h80 en décembre 2021 et 58h25 en janvier 2022. La moyenne mensuelle s'élève ainsi à 29h28 et il appert que, s'agissant de la période de référence de douze mois, les variations dépassent systématiquement la limite admissible de 20% (entre 23h42 et 35h14). Étant donné qu'il n'est pas possible de déterminer un temps de travail « régulier » à partir de l'examen des comparaisons mensuelles, reste encore à le vérifier au moyen de la comparaison annuelle.</w:t>
      </w:r>
    </w:p>
    <w:p>
      <w:r>
        <w:t>A/4093/2022 - 13/14 - Sur une période de référence de cinq ans en arrière, à compter toujours de la diminution d'activité alléguée, le recourant a effectué : 349h40 du 1er février 2021 au 31 janvier 2022 ; 171h00 du 1er février 2020 au 31 janvier 2021 ; 229h41 du 1er février 2019 au 31 janvier 2020 ; 150h25 du 1er février 2018 au 31 janvier 2019 et 21h75 du 1er février 2017 au 31 janvier 2018. La moyenne annuelle s'élève donc à 184h36 et l'on constate que les variations dépassent régulièrement la limite admissible de 20% (entre 147h49 et 221h23). À noter que ces conclusions ne seraient pas différentes si l'on prenait, comme période de référence, les douze derniers mois précédant la date à laquelle les indemnités de chômage ont été sollicitées, ni d'ailleurs les cinq dernières années précédant cette date. Force est donc de constater qu'il n'est pas possible de déterminer un temps de travail normal, tant à partir de l'examen des comparaisons mensuelles, qu'annuelles. Dès lors, le temps de travail sur appel du recourant ne peut être considéré comme « régulier », et il convient de retenir, à l’instar de l'intimée, que le recourant ne subit ni perte de travail, ni perte de gain, à prendre en considération. Le recourant ne remplit donc pas l'une des conditions cumulatives prévues par la loi (art. 8 al. 1 let. b LACI) pour prétendre à l'octroi d'indemnités de chômage à compter du 27 mai 2022.</w:t>
      </w:r>
    </w:p>
    <w:p>
      <w:r>
        <w:rPr>
          <w:b/>
        </w:rPr>
        <w:t>E. 7.3</w:t>
      </w:r>
    </w:p>
    <w:p>
      <w:r>
        <w:t>En conséquence, l'intimée était fondée à nier le droit aux prestations de l’assuré, en l'absence de perte de travail.</w:t>
      </w:r>
    </w:p>
    <w:p>
      <w:r>
        <w:rPr>
          <w:b/>
        </w:rPr>
        <w:t>E. 8</w:t>
      </w:r>
    </w:p>
    <w:p>
      <w:r>
        <w:t>Dans la mesure de ce qui précède, le recours sera rejeté. Pour le surplus, la procédure est gratuite.</w:t>
      </w:r>
    </w:p>
    <w:p>
      <w:r>
        <w:t>******</w:t>
      </w:r>
    </w:p>
    <w:p>
      <w:r>
        <w:t>A/4093/2022 - 14/14 -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