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ATAS/656/2021 vom 23. Juni 2021</w:t>
      </w:r>
    </w:p>
    <w:p>
      <w:r>
        <w:t>GE Cour de justice, 2021-06-23, FR</w:t>
      </w:r>
    </w:p>
    <w:p>
      <w:r>
        <w:rPr>
          <w:b/>
        </w:rPr>
        <w:t xml:space="preserve">Quelle: </w:t>
      </w:r>
      <w:r>
        <w:t>https://mcp.opencaselaw.ch/entscheid/ge_gerichte_ATAS_656_2021</w:t>
      </w:r>
    </w:p>
    <w:p>
      <w:r>
        <w:t>FR: GE_GERICHTE ATAS/656/2021 du 23 juin 2021</w:t>
      </w:r>
    </w:p>
    <w:p>
      <w:r>
        <w:t>IT: GE_GERICHTE ATAS/656/2021 del 23 giugno 2021</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w:t>
      </w:r>
    </w:p>
    <w:p>
      <w:r>
        <w:t>- 17/47-</w:t>
      </w:r>
    </w:p>
    <w:p>
      <w:r>
        <w:t>A/68/2019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t>- 43/47-</w:t>
      </w:r>
    </w:p>
    <w:p>
      <w:r>
        <w:t>A/68/2019</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- 18/47-</w:t>
      </w:r>
    </w:p>
    <w:p>
      <w:r>
        <w:t>A/68/2019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w:t>
      </w:r>
    </w:p>
    <w:p>
      <w:r>
        <w:t>- 19/47-</w:t>
      </w:r>
    </w:p>
    <w:p>
      <w:r>
        <w:t>A/68/2019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- 20/47-</w:t>
      </w:r>
    </w:p>
    <w:p>
      <w:r>
        <w:t>A/68/2019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w:t>
      </w:r>
    </w:p>
    <w:p>
      <w:r>
        <w:t>- 21/47-</w:t>
      </w:r>
    </w:p>
    <w:p>
      <w:r>
        <w:t>A/68/2019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t>- 46/47-</w:t>
      </w:r>
    </w:p>
    <w:p>
      <w:r>
        <w:t>A/68/2019</w:t>
      </w:r>
    </w:p>
    <w:p>
      <w:r>
        <w:rPr>
          <w:b/>
        </w:rPr>
        <w:t>E. 8</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w:t>
      </w:r>
    </w:p>
    <w:p>
      <w:r>
        <w:t>- 22/47-</w:t>
      </w:r>
    </w:p>
    <w:p>
      <w:r>
        <w:t>A/68/2019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Êtes-vous d'accord avec l’avis du Dr AA_____ du 12 août 2016 (SMR) ? En particulier avec les diagnostics posés, les limitations fonctionnelles</w:t>
      </w:r>
    </w:p>
    <w:p>
      <w:r>
        <w:t>- 44/47-</w:t>
      </w:r>
    </w:p>
    <w:p>
      <w:r>
        <w:t>A/68/2019 constatées et l’estimation d’une capacité de travail de 100%? Si non, pourquoi ? 9. Quel est le pronostic ? 10. Des mesures de réadaptation professionnelle sont-elles envisageables ? 11. Faire toutes autres observations ou suggestions utiles E. Charge la Dresse X_____, psychiatre,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t>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2011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- 45/47-</w:t>
      </w:r>
    </w:p>
    <w:p>
      <w:r>
        <w:t>A/68/2019 4.7 Dans l’affirmative, considérez-vous que cela suffise à exclure une atteinte à la santé significative ? 5. Limitations fonctionnelles</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w:t>
      </w:r>
    </w:p>
    <w:p>
      <w:r>
        <w:t>- 23/47-</w:t>
      </w:r>
    </w:p>
    <w:p>
      <w:r>
        <w:t>A/68/2019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10.1</w:t>
      </w:r>
    </w:p>
    <w:p>
      <w:r>
        <w:t>Examen du traitement suivi par la personne expertisée et analyse de son adéquation.</w:t>
      </w:r>
    </w:p>
    <w:p>
      <w:r>
        <w:t>- 47/47-</w:t>
      </w:r>
    </w:p>
    <w:p>
      <w:r>
        <w:t>A/68/2019</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11.1</w:t>
      </w:r>
    </w:p>
    <w:p>
      <w:r>
        <w:t>Êtes-vous d’accord avec l’expertise du Dr Q_____ du 13 septembre 2012 ? En particulier avec les diagnostics posés, les limitations fonctionnelles constatées et l’estimation d’une capacité de travail de 100% ? Si non, pourquoi ?</w:t>
      </w:r>
    </w:p>
    <w:p>
      <w:r>
        <w:rPr>
          <w:b/>
        </w:rPr>
        <w:t>E. 11.2</w:t>
      </w:r>
    </w:p>
    <w:p>
      <w:r>
        <w:t>Êtes-vous d'accord avec l’avis de la Dresse AA_____ du 12 août 2016 (SMR) ? En particulier avec les diagnostics posés, les limitations fonctionnelles constatées et l’estimation d’une capacité de travail de 100% ? Si non, pourquoi ? 12. Quel est le pronostic ? 13. Des mesures de réadaptation professionnelle sont-elles envisageables ? 14. Faire toutes autres observations ou suggestions utiles. F. Invite les trois experts à faire une appréciation consensuelle du cas s’agissant de toutes les problématiques ayant des interférences entre elles, notamment l’appréciation de la capacité de travail résiduelle. G. Invite les trois experts à déposer, dans les meilleurs délais, un rapport en trois exemplaires auprès de la chambre de céans. III. Réserve le fond ainsi que le sort des frais jusqu’à droit jugé au fond.</w:t>
      </w:r>
    </w:p>
    <w:p>
      <w:r>
        <w:t>La greffière</w:t>
      </w:r>
    </w:p>
    <w:p>
      <w:r>
        <w:t>Nathalie LOCHER</w:t>
      </w:r>
    </w:p>
    <w:p>
      <w:r>
        <w:t>Le président</w:t>
      </w:r>
    </w:p>
    <w:p>
      <w:r>
        <w:t>Philippe KNUPFER</w:t>
      </w:r>
    </w:p>
    <w:p>
      <w:r>
        <w:t>Une copie conforme du présent arrêt est notifiée aux parties le</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13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- 24/47-</w:t>
      </w:r>
    </w:p>
    <w:p>
      <w:r>
        <w:t>A/68/2019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- 25/47-</w:t>
      </w:r>
    </w:p>
    <w:p>
      <w:r>
        <w:t>A/68/2019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w:t>
      </w:r>
    </w:p>
    <w:p>
      <w:r>
        <w:t>- 26/47-</w:t>
      </w:r>
    </w:p>
    <w:p>
      <w:r>
        <w:t>A/68/2019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- 27/47-</w:t>
      </w:r>
    </w:p>
    <w:p>
      <w:r>
        <w:t>A/68/2019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w:t>
      </w:r>
    </w:p>
    <w:p>
      <w:r>
        <w:t>- 28/47-</w:t>
      </w:r>
    </w:p>
    <w:p>
      <w:r>
        <w:t>A/68/2019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- 29/47-</w:t>
      </w:r>
    </w:p>
    <w:p>
      <w:r>
        <w:t>A/68/2019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20</w:t>
      </w:r>
    </w:p>
    <w:p>
      <w:r>
        <w:t>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w:t>
      </w:r>
    </w:p>
    <w:p>
      <w:r>
        <w:t>- 30/47-</w:t>
      </w:r>
    </w:p>
    <w:p>
      <w:r>
        <w:t>A/68/2019 sont ainsi exclues de la définition des travaux habituels (ATF 131 V 51 consid. 5.1.2 et 5.2, précisé par l’ATF 142 V 290 consid. 7; arrêt du Tribunal fédéral 9C_432/2016 du 10 février 2017 consid. 5.1). La limitation dans le domaine lucratif doit être prise en considération de façon proportionnelle – en fonction de l'étendue de l’hypothétique taux d’activité lucrative à temps partiel (consid. ATF 142 V 290 consid. 7).</w:t>
      </w:r>
    </w:p>
    <w:p>
      <w:r>
        <w:rPr>
          <w:b/>
        </w:rPr>
        <w:t>E. 21</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w:t>
      </w:r>
    </w:p>
    <w:p>
      <w:r>
        <w:t>- 31/47-</w:t>
      </w:r>
    </w:p>
    <w:p>
      <w:r>
        <w:t>A/68/2019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w:t>
      </w:r>
    </w:p>
    <w:p>
      <w:r>
        <w:rPr>
          <w:b/>
        </w:rPr>
        <w:t>E. 26</w:t>
      </w:r>
    </w:p>
    <w:p>
      <w:r>
        <w:t>octobre 2018 (étant précisé que le tableau T1_tirage_skill_level a été corrigé le 8 novembre 2018) ; et l’ESS 2014, le 15 avril 2016. d.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w:t>
      </w:r>
    </w:p>
    <w:p>
      <w:r>
        <w:t>- 32/47-</w:t>
      </w:r>
    </w:p>
    <w:p>
      <w:r>
        <w:t>A/68/2019 et secteur public [Confédération] ensemble), si cela permet de fixer plus précisément le revenu d'invalide et que le secteur en question est adapté et exigible (ATF 133 V 545, et les références citées).</w:t>
      </w:r>
    </w:p>
    <w:p>
      <w:r>
        <w:t>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f.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w:t>
      </w:r>
    </w:p>
    <w:p>
      <w:r>
        <w:t>- 33/47-</w:t>
      </w:r>
    </w:p>
    <w:p>
      <w:r>
        <w:t>A/68/2019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g.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w:t>
      </w:r>
    </w:p>
    <w:p>
      <w:r>
        <w:t>h.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w:t>
      </w:r>
    </w:p>
    <w:p>
      <w:r>
        <w:t>- 34/47-</w:t>
      </w:r>
    </w:p>
    <w:p>
      <w:r>
        <w:t>A/68/2019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t>i.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w:t>
      </w:r>
    </w:p>
    <w:p>
      <w:r>
        <w:t>Une unilatéralité de fait ou une restriction de la main dominante peut justifier un abattement compris entre 20% et 25% (arrêts du Tribunal fédéral 9C_363/2017 du 22 juin 2018 consid. 4.3 et 9C_396/2014 du 15 avril 2015 consid. 5.2). j.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k.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w:t>
      </w:r>
    </w:p>
    <w:p>
      <w:r>
        <w:t>- 35/47-</w:t>
      </w:r>
    </w:p>
    <w:p>
      <w:r>
        <w:t>A/68/2019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l.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w:t>
      </w:r>
    </w:p>
    <w:p>
      <w:r>
        <w:t>- 36/47-</w:t>
      </w:r>
    </w:p>
    <w:p>
      <w:r>
        <w:t>A/68/2019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m.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t>n.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w:t>
      </w:r>
    </w:p>
    <w:p>
      <w:r>
        <w:t>o.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w:t>
      </w:r>
    </w:p>
    <w:p>
      <w:r>
        <w:t>- 37/47-</w:t>
      </w:r>
    </w:p>
    <w:p>
      <w:r>
        <w:t>A/68/2019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w:t>
      </w:r>
    </w:p>
    <w:p>
      <w:r>
        <w:t>p.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w:t>
      </w:r>
    </w:p>
    <w:p>
      <w:r>
        <w:t>- 38/47-</w:t>
      </w:r>
    </w:p>
    <w:p>
      <w:r>
        <w:t>A/68/2019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22.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23. a.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88a al. 2 RAI, si l’incapacité de gain ou la capacité d’accomplir les travaux habituels ou l’impotence ou le besoin de soins découlant de l’invalidité d’un assuré s’aggrave, il y a lieu de considérer que ce changement</w:t>
      </w:r>
    </w:p>
    <w:p>
      <w:r>
        <w:t>- 39/47-</w:t>
      </w:r>
    </w:p>
    <w:p>
      <w:r>
        <w:t>A/68/2019 accroît, le cas échéant son droit aux prestations dès qu’il a duré trois mois sans interruption notable. L’art. 29bis est toutefois applicable. 24.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t>- 40/47-</w:t>
      </w:r>
    </w:p>
    <w:p>
      <w:r>
        <w:t>A/68/2019 25. En l’espèce, l’assuré invoque, certificat médical du Pr I______ datant de 2016 à l’appui, une aggravation de son état de santé. Aucune expertise multi-disciplinaire n’a jamais été réalisée par l’OAI depuis le dépôt de la demande de prestations ; les troubles psychiques ont été examinés en 2012 par le Dr Q_____, qui est parvenu à des conclusions relativement péremptoires, et les troubles somatiques ont fait l’objet d’un examen réalisé en 2012 également par le SMR. Toutefois, les éventuelles interactions entre les troubles psychiques et rhumatologiques n’ont pas été examinées, ni les interactions avec les troubles orthopédiques. Compte tenu de ce qui précède et du temps écoulé depuis les examens susmentionnés, il se justifie d’ordonner une expertise pluridisciplinaire, tenant compte des aspects psychiques, rhumatologiques et orthopédiques.</w:t>
      </w:r>
    </w:p>
    <w:p>
      <w:r>
        <w:t>- 41/47-</w:t>
      </w:r>
    </w:p>
    <w:p>
      <w:r>
        <w:t>A/68/2019 PAR CES MOTIFS, LA CHAMBRE DES ASSURANCES SOCIALES : Statuant préparatoirement I. Ordonne une expertise médicale multidisciplinaire de Monsieur A______. Commet à ces fins le Docteur Z_____, spécialiste FMH en rhumatologie, à Genève, le Docteur G______, spécialiste FMH en chirurgie orthopédique et traumatologie de l'appareil locomoteur, à Genève, et la Doctoresse X_____, spécialiste FMH en psychiatrie, à Genève. II. Dit que la mission d’expertise sera la suivante : A. Prendre connaissance du dossier de la cause. B. Si nécessaire, prendre tous renseignements auprès des médecins ayant traité la personne expertisée, en particulier les docteurs U_____ (cardiologue), H______ (SMR), L_____ (rhumathologue), E______ (orthopédiste), Professeur I______ (chir. orthopédique), J_____ (chir. orthopédique), S_____ (psychiatre), T_____ (psychiatre), et W_____ (médecine physique et réadaptation). C. Examiner et entendre la personne expertisée et si nécessaire, ordonner d'autres examens. D. Charge les Drs Z_____ et G______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t>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w:t>
      </w:r>
    </w:p>
    <w:p>
      <w:r>
        <w:t>- 42/47-</w:t>
      </w:r>
    </w:p>
    <w:p>
      <w:r>
        <w:t>A/68/2019 4.5 L’état de santé de la personne expertisée s’est-il amélioré/détérioré depuis 2011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