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ATAS/655/2025 vom 2. September 2025</w:t>
      </w:r>
    </w:p>
    <w:p>
      <w:r>
        <w:t>GE Cour de justice, 2025-09-02, FR</w:t>
      </w:r>
    </w:p>
    <w:p>
      <w:r>
        <w:rPr>
          <w:b/>
        </w:rPr>
        <w:t xml:space="preserve">Quelle: </w:t>
      </w:r>
      <w:r>
        <w:t>https://mcp.opencaselaw.ch/entscheid/ge_gerichte_ATAS_655_2025</w:t>
      </w:r>
    </w:p>
    <w:p>
      <w:r>
        <w:t>FR: GE_GERICHTE ATAS/655/2025 du 2 septembre 2025</w:t>
      </w:r>
    </w:p>
    <w:p>
      <w:r>
        <w:t>IT: GE_GERICHTE ATAS/655/2025 del 2 settembre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en temps utile, le recours est recevable (art. 60 al. 1 LPGA et 62 al. 1 de la loi sur la procédure administrative du 12 septembre 1985 [LPA-GE - E 5 10]).</w:t>
      </w:r>
    </w:p>
    <w:p>
      <w:r>
        <w:rPr>
          <w:b/>
        </w:rPr>
        <w:t>E. 2</w:t>
      </w:r>
    </w:p>
    <w:p>
      <w:r>
        <w:t>Le litige porte sur le taux d’invalidité du recourant à compter du 17 octobre 2023 et son droit au versement d’une rente au-delà du 31 janvier 2024.</w:t>
      </w:r>
    </w:p>
    <w:p>
      <w:r>
        <w:rPr>
          <w:b/>
        </w:rPr>
        <w:t>E. 3</w:t>
      </w:r>
    </w:p>
    <w:p>
      <w:r>
        <w:t>A/205/2025 - 11/21 -</w:t>
      </w:r>
    </w:p>
    <w:p>
      <w:r>
        <w:rPr>
          <w:b/>
        </w:rPr>
        <w:t>E. 3.1</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l’occurrence, est litigieuse la révision, au sens de l’art. 17 LPGA, d’une rente d’invalidité dont le droit est né le 1er septembre 2023, soit postérieurement au 31 décembre 2021, de sorte que les dispositions légales applicables seront citées dans leur nouvelle teneur.</w:t>
      </w:r>
    </w:p>
    <w:p>
      <w:r>
        <w:rPr>
          <w:b/>
        </w:rPr>
        <w:t>E. 4</w:t>
      </w:r>
    </w:p>
    <w:p>
      <w:r>
        <w:t>Conformément à l’art. 8 al. 1 LPGA, est réputée invalidité l’incapacité de gain totale ou partielle qui est présumée permanente ou de longue durée. L’art. 4 al. 1 LAI dispose que l’invalidité (art. 8 LPGA)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w:t>
      </w:r>
    </w:p>
    <w:p>
      <w:r>
        <w:t>A/205/2025 - 12/21 - elle entraîne une incapacité de travail ayant des effets sur la capacité de gain de l’assuré (arrêt du Tribunal fédéral I 654/00 du 9 avril 2001 consid. 1).</w:t>
      </w:r>
    </w:p>
    <w:p>
      <w:r>
        <w:rPr>
          <w:b/>
        </w:rPr>
        <w:t>E. 4.1</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w:t>
      </w:r>
    </w:p>
    <w:p>
      <w:r>
        <w:rPr>
          <w:b/>
        </w:rPr>
        <w:t>E. 4.2</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125 V 413 consid. 2d et les références). L’art. 17 al. 1 LPGA dispose que la rente d'invalidité est, d'office ou sur demande, révisée pour l'avenir, à savoir augmentée, réduite ou supprimée, lorsque le taux d'invalidité de l'assuré subit une modification d'au moins 5 points de pourcentage (let. a) ou atteint 100% (let. b).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Un motif de révision a été retenu notamment lorsqu’une méthode différente d’évaluation de l’invalidité s’applique (arrêt du Tribunal fédéral 8C_716/2022 du</w:t>
      </w:r>
    </w:p>
    <w:p>
      <w:r>
        <w:rPr>
          <w:b/>
        </w:rPr>
        <w:t>E. 4.3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A/205/2025 - 14/21 -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w:t>
      </w:r>
    </w:p>
    <w:p>
      <w:r>
        <w:t>A/205/2025 - 15/21 - fiabilité ou à la pertinence des constatations effectuées par le SMR (ATF 142 V 58 consid. 5 ; 135 V 465 consid. 4.4 et 4.6 ; arrêt du Tribunal fédéral 9C_371/2018 du 16 août 2018 consid. 4.3.1).</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5</w:t>
      </w:r>
    </w:p>
    <w:p>
      <w:r>
        <w:t>kg. S'agissant de la capacité de travail dans une activité adaptée aux limitations fonctionnelles, l'exigibilité était estimée à 100%, sans diminution de rendement.</w:t>
      </w:r>
    </w:p>
    <w:p>
      <w:r>
        <w:rPr>
          <w:b/>
        </w:rPr>
        <w:t>E. 5.1</w:t>
      </w:r>
    </w:p>
    <w:p>
      <w:r>
        <w:t>Le recourant conteste avoir récupéré une capacité de travail entière dans un métier adapté dès le 17 octobre 2023 et soutient être dans l’impossibilité de reprendre une activité professionnelle en raison de ses différentes atteintes. Il conclut à l'octroi d'une rente d'invalidité à compter du 1er septembre « 2022 » sans limite dans le temps, ce qui semble, au vu des griefs et développements figurant dans ses écritures, être le résultat d'une erreur de plume. L’incapacité de travail durable ayant débuté en septembre 2022, c’est à bon droit que l’intimé a fixé le début du droit à la rente d’invalidité au 1er septembre 2023, soit à l’issue du délai d’attente d’une année.</w:t>
      </w:r>
    </w:p>
    <w:p>
      <w:r>
        <w:rPr>
          <w:b/>
        </w:rPr>
        <w:t>E. 5.2</w:t>
      </w:r>
    </w:p>
    <w:p>
      <w:r>
        <w:t>Il y a donc lieu d’examiner la valeur probante du rapport d'expertise rhumatologique, ainsi que des conclusions du SMR, en tant qu'ils retiennent une amélioration de l'état de santé à compter du 17 octobre 2023. Sur le plan formel, il ressort du rapport d'expertise que l'expert a opéré une synthèse du dossier, rapporté les plaintes du recourant relatives à ses douleurs aux poignets et à ses lombalgies, établi une anamnèse, mentionné les traitements actuels et noté ses constatations relatives à l'examen clinique. Sur le plan matériel, l'expert a estimé que le recourant présentait, avec répercussion sur la capacité de travail, une ankylose du poignet droit sur probable capsulose, avec status post cure du tunnel carpien droit le 31 octobre 2022 et avec une chondropathie luno-capitale et luno-hamatale modeste. Il a également retenu les diagnostics, sans incidence sur la capacité de travail, de syndrome lombovertébral récurrent sans signe radiculaire irritatif ou déficitaire et sans signe de discopathie, de status post fracture de la tête de la fibula droite (post accident de la voie publique le 15 octobre 2020), ainsi que de status post prothèse totale de hanche droite en 2009 et gauche en 2010. L'expert a mentionné que le diagnostic de SDRC avait été infirmé par l'examen de scintigraphie effectué le 17 octobre 2023. Il a estimé qu'il n'y avait pas de signe d'une atteinte inflammatoire, ce qui, selon lui, s'apparentait à l'appréciation du Dr R______, qui décrivait l'absence d'une telle atteinte. L'expert a expliqué que</w:t>
      </w:r>
    </w:p>
    <w:p>
      <w:r>
        <w:t>A/205/2025 - 17/21 - les résultats d'examen étaient valides et compréhensibles mais que le socle somatique, malgré la présence de troubles dégénératifs modestes sous-jacents, ne permettait pas d'expliquer l'ampleur de la symptomatologie douloureuse et de l'impotence fonctionnelle qui en découlait dans les activités de la vie quotidienne et professionnelle. Il n'a pas observé de divergence ressortant du dossier à mettre en évidence. L'expert a précisé que l'ankylose au poignet droit avait probablement était favorisée par le port d'une attelle en permanence, mais que l'absence d'amyotrophie permettait de rendre le pronostic meilleur sur la récupération. S'agissant de l'activité habituelle d'agent de sécurité, il a indiqué qu'elle était déjà partiellement adaptée car elle n'impliquait pas, selon lui, de port de charges avec la main droite. Dans cette activité, il a estimé que, du point de vue purement rhumatologique, la capacité de travail était médico-théoriquement de 60% depuis novembre 2023, soit après la scintigraphie effectuée le 17 octobre 2023 qui, à son avis, avait permis d'exclure une algoneurodystrophie qui aurait pu expliquer la symptomatologie douloureuse au long cours. Il a considéré qu'il y avait eu une augmentation de cette capacité de travail de 10% par mois jusqu'à atteindre les 90%. Aussi, au jour de l'expertise, la capacité de travail était de 90% dans la dernière activité habituelle d'agent de sécurité. Concernant les limitations fonctionnelles, il a retenu le port répétitif de charge avec la main droite de plus de</w:t>
      </w:r>
    </w:p>
    <w:p>
      <w:r>
        <w:rPr>
          <w:b/>
        </w:rPr>
        <w:t>E. 5.3</w:t>
      </w:r>
    </w:p>
    <w:p>
      <w:r>
        <w:t>D'emblée, la chambre de céans relève que le SMR a déclaré s'être écarté des conclusions de l'expert à propos de la capacité de travail du recourant, en raison de la difficulté à interpréter son rapport, retenant, au contraire de l'expert, une incapacité de travail totale dans l'activité habituelle d'agent de sécurité. S'agissant également des limitations fonctionnelles, on notera que l'expert n'a retenu que le port répétitif de charge avec la main droite de plus de 5 kg, alors que le SMR admet, en plus de cette restriction, l'impossibilité d'effectuer des mouvements répétitifs de la main et du poignet droits, ainsi que des travaux minutieux avec cette même main. Or, le fait que les conclusions de l'expert, sur ces questions fondamentales que sont la capacité de travail et les limitations fonctionnelles, aient été écartées par le SMR soulève déjà un doute sur la valeur probante du rapport d'expertise. En outre, ce document, qui manque de clarté, est peu convaincant pour les raisons suivantes. D'une part, l'expert n'a pas discuté la divergence d'opinion avec le Dr R______ au sujet du diagnostic de SDRC, posé par ce dernier. Sur cette question, l'expert s'est contenté d'indiquer que l'examen de scintigraphie effectué le 17 octobre 2023 infirmait la présence d'un SDRC. Or, le Dr R______ a souligné dans son rapport du 3 mars 2024 qu'il persistait à confirmer ce diagnostic. Il a ensuite expliqué, dans son rapport du 6 septembre 2024, qu'une scintigraphie osseuse normale ne</w:t>
      </w:r>
    </w:p>
    <w:p>
      <w:r>
        <w:t>A/205/2025 - 18/21 - permettait pas d'infirmer un tel diagnostic, car la sensibilité de cet examen n'était pas de 100% et tout dépendait du moment auquel il était réalisé et que, dans le cas du recourant, il avait été effectué tardivement, presque une année après l'apparition des symptômes au poignet droit. Il a relevé que le chirurgien qui avait opéré le recourant avait signalé dans son rapport du 24 février 2023 une évolution algoneurodystrophique avec rougeurs, chaleurs et douleurs, ce qui, selon lui, était typique de la première phase d'un SDRC appelée phase chaude ou pseudo-inflammatoire. Il a précisé qu'il avait lui-même vu le recourant seulement après cette première phase, or c'était surtout lors de celle-ci que la scintigraphie osseuse donnait un résultat anormal typique d'un SDRC. Il a relevé que l'évolution clinique vers des douleurs chroniques du poignet droit et une ankylose comme lors d'une capsulite ou capsulose, survenait habituellement après la phase dite chaude. Selon lui, la description initiale et l'évolution de l'affection chez le recourant au cours des mois suivants étaient tout à fait évocatrices d'un diagnostic de SDRC avec une limitation importante de la mobilité du poignet comme lors d'une ankylose. Il a également expliqué que le SDRC était une affection complexe, parfois moins typique dans sa présentation et son évolution, que la description des trois phases avait été critiquée puisque celles-ci n'étaient pas toujours toutes présentes et que la scintigraphie osseuse et les radiographies ne figuraient pas parmi les critères diagnostiques utilisés actuellement. Il a estimé que dans le cas du recourant, il s'agissait d'un SDRC atypique en phase chronique (soit une algoneurodystrophie), avec une limitation de la mobilité du poignet et des douleurs, et qu’il n'était donc pas étonnant qu'il y ait une discordance entre les troubles dégénératifs légers à modérés et une très importante limitation de la mobilité du poignet due aux conséquences du SDRC. Il a encore indiqué qu'il était bien connu dans la documentation médicale qu'il existait une incapacité de travail persistante chez les personnes ayant souffert d'un SDRC. Il a considéré qu'en tant que droitier, avec des limitations importantes du poignet droit, avec une impossibilité de porter des charges, d'effectuer des mouvements répétitifs du poignet droit et de réaliser des travaux manuels minutieux, le recourant avait tout au plus une capacité de travail théorique de 20% à 30% dans son activité habituelle d'agent de sécurité. Ainsi, le Dr R______ a exposé, de manière claire, motivée et plutôt convaincante, en s'appuyant sur de la documentation médicale, les raisons pour lesquelles il retenait le diagnostic de SDRC. Cette appréciation – qui n'a pas été discutée – contribue également à remettre en cause la valeur du rapport d'expertise, ce d'autant plus que l'expert a mentionné que la présence d'une algoneurodystrophie aurait pu expliquer la symptomatologie douloureuse au long cours. D'autre part, la chambre de céans observe que cette expertise ne permet pas de se déterminer sur la situation médicale globale du recourant, dès lors que l'expert n'a pas abordé la question des atteintes aux épaules, en particulier à l'épaule droite. En effet, il s'est limité à mentionner que lors de son examen clinique, les différents</w:t>
      </w:r>
    </w:p>
    <w:p>
      <w:r>
        <w:t>A/205/2025 - 19/21 - tests réalisés aux épaules étaient négatifs et que le recourant avait subi une luxation de l'épaule droite en 1996, opérée à trois reprises en 1996 et 2000. Il n'a en particulier retenu aucun diagnostic – pas même sans incidence sur la capacité de travail – concernant l'épaule droite, ni discuté cette question. Or, on rappellera que dans le cadre de la première demande de prestations, l'intimé avait, en 2004, déterminé le taux d'invalidité du recourant et conclu qu'après son reclassement professionnel, son taux était de 17%, en tenant justement compte des atteintes à l'épaule droite. On relèvera également que l'assureur accident a alloué à l’intéressé une indemnité pour atteinte à l'intégrité de 25% en raison des atteintes à l'épaule droite, ainsi qu'une rente d'invalidité de 13%, laquelle est encore versée à ce jour. Ces éléments démontrent qu’il était nécessaire de prendre en considération – à tout le moins d’analyser – la question des atteintes à l’épaule droite pour apprécier l’état de santé général du recourant et déterminer sa capacité de travail. Enfin, on relèvera que le recourant s'est plaint de lombalgies auprès de l'expert, lequel les a constatées lors de son examen clinique et rapportées dans son rapport d'expertise. L'expert a, à cet égard, retenu la présence d'un syndrome lombovertébral récurrent, sans signe radiculaire irritatif ou déficitaire et sans discopathie, en indiquant que la radiographie de la colonne lombaire qui aurait été réalisée le jour de l'expertise, ne présentait pas de particularités et que l'examen segmentaire mettait en évidence une hypomobilité de toute la région lombaire basse avec hypoextensibilité des érecteurs lombaires. Il a estimé que ce diagnostic n'avait pas de répercussion sur la capacité de travail, sans toutefois expliquer clairement son appréciation. Il sied d'ailleurs de noter que la partie évaluation et appréciation du rapport d'expertise ne porte que sur le poignet droit. Or, dans la mesure où les lombalgies ont été constatées par l'expert, on pouvait attendre de celui-ci qu'il motive sa position quant à l'absence de toute répercussion sur la capacité fonctionnelle du recourant.</w:t>
      </w:r>
    </w:p>
    <w:p>
      <w:r>
        <w:rPr>
          <w:b/>
        </w:rPr>
        <w:t>E. 5.4</w:t>
      </w:r>
    </w:p>
    <w:p>
      <w:r>
        <w:t>Eu égard à ce qui précède, il y a lieu de retenir que le rapport d'expertise n’établit pas, au degré de la vraisemblance prépondérante, que le recourant aurait présenté une capacité de travail entière dans une activité adaptée à compter du 17 octobre 2023. Quant à l'appréciation du SMR, elle reprend les diagnostics retenus par l'expert et ne tient ainsi pas compte d'un éventuel diagnostic de SDRC, tel que posé par le Dr R______, ni des atteintes à l'épaule droite du recourant. Force est ainsi de constater que l'intimé ne pouvait pas se fonder sur le rapport d'expertise du Dr U______, ni sur les conclusions du SMR, pour rendre sa décision litigieuse d’octroi de rente d’invalidité limitée au 31 janvier 2024.</w:t>
      </w:r>
    </w:p>
    <w:p>
      <w:r>
        <w:rPr>
          <w:b/>
        </w:rPr>
        <w:t>E. 5.5</w:t>
      </w:r>
    </w:p>
    <w:p>
      <w:r>
        <w:t>Dans ces conditions, en l'absence d'une appréciation suffisamment convaincante et circonstanciée permettant de déterminer si et dans quelle mesure la capacité de travail du recourant s'est améliorée à compter du 17 octobre 2023, la chambre de céans n'est pas en mesure de trancher le litige.</w:t>
      </w:r>
    </w:p>
    <w:p>
      <w:r>
        <w:t>A/205/2025 - 20/21 - Il se justifie par conséquent de renvoyer la cause à l'intimé pour qu'il procède à une instruction complémentaire, sous la forme d'une nouvelle expertise indépendante, au sens de l'art. 44 LPGA, en matière rhumatologique, voire également orthopédique, laquelle devra porter sur la situation médicale complète du recourant, comprenant notamment ses problèmes aux main et poignet droits – y compris sur la question de la présence d'un syndrome d'algoneurodystrophie –, aux épaules, au dos et aux hanches. Un renvoi à l'intimé se justifie, en l'occurrence, vu les carences de ses investigations médicales.</w:t>
      </w:r>
    </w:p>
    <w:p>
      <w:r>
        <w:rPr>
          <w:b/>
        </w:rPr>
        <w:t>E. 5.6</w:t>
      </w:r>
    </w:p>
    <w:p>
      <w:r>
        <w:t>Compte tenu de l'instruction lacunaire du dossier, il est prématuré à ce stade d'examiner les griefs du recourant concernant le calcul du degré d'invalidité.</w:t>
      </w:r>
    </w:p>
    <w:p>
      <w:r>
        <w:rPr>
          <w:b/>
        </w:rPr>
        <w:t>E. 6</w:t>
      </w:r>
    </w:p>
    <w:p>
      <w:r>
        <w:t>Au vu de ce qui précède, le recours sera partiellement admis, la décision litigieuse annulée dans la mesure où elle supprime le droit à la rente dès le 1er février 2024, et la cause renvoyée à l’intimé pour instruction complémentaire et nouvelle décision, dans le sens des considérants. Le recourant qui obtient partiellement gain de cause et est assisté par un avocat, a droit à une indemnité de CHF 2'500.-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A/205/2025 - 21/21 -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