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ATAS/655/2013 vom 27. Juni 2013</w:t>
      </w:r>
    </w:p>
    <w:p>
      <w:r>
        <w:t>GE Cour de justice, 2013-06-27, FR</w:t>
      </w:r>
    </w:p>
    <w:p>
      <w:r>
        <w:rPr>
          <w:b/>
        </w:rPr>
        <w:t xml:space="preserve">Quelle: </w:t>
      </w:r>
      <w:r>
        <w:t>https://mcp.opencaselaw.ch/entscheid/ge_gerichte_ATAS_655_2013</w:t>
      </w:r>
    </w:p>
    <w:p>
      <w:r>
        <w:t>FR: GE_GERICHTE ATAS/655/2013 du 27 juin 2013</w:t>
      </w:r>
    </w:p>
    <w:p>
      <w:r>
        <w:t>IT: GE_GERICHTE ATAS/655/2013 del 27 giugno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Déposé dans les forme et délai prévus par la loi, le recours est recevable (art. 60 LPGA).</w:t>
      </w:r>
    </w:p>
    <w:p>
      <w:r>
        <w:rPr>
          <w:b/>
        </w:rPr>
        <w:t>E. 3</w:t>
      </w:r>
    </w:p>
    <w:p>
      <w:r>
        <w:t>Le litige porte sur le bien-fondé de la suspension de neuf jours du droit à l’indemnité du recourant prononcée à son encontre au motif qu’il n’a pas remis ses recherches d'emploi du mois de février 2013 dans le délai légal.</w:t>
      </w:r>
    </w:p>
    <w:p>
      <w:r>
        <w:t>A/1496/2013 - 4/6 -</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depuis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5</w:t>
      </w:r>
    </w:p>
    <w:p>
      <w:r>
        <w:t>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l'art. 45 al. 3 OACI. b) Selon les directives du SECO concernant les indemnités, modifiées suite à l'entrée en vigueur des modifications de la LACI au 1er avril 2011, la suspension infligée en l’absence de recherches durant la période de contrôle ou en cas de remise tardive des recherches d'emploi est de 5 à 9 jours pour la 1ère fois, de 10 à 19 jours pour la seconde fois (030-Bulletin LACI, D72).</w:t>
      </w:r>
    </w:p>
    <w:p>
      <w:r>
        <w:rPr>
          <w:b/>
        </w:rPr>
        <w:t>E. 6</w:t>
      </w:r>
    </w:p>
    <w:p>
      <w:r>
        <w:t>Dans le cas d'espèce, il n’est pas contesté que l’assuré n’a pas remis ses recherches d'emploi du mois de février 2013 en temps utile. Il n’est pas contesté non plus qu'en février 2013, l’assuré a néanmoins effectué des recherches dont ni la quantité ni la qualité ne sont mises en question. Le fait d’avoir été en arrêt maladie du 4 au 6 mars 2013 ne saurait constituer une excuse valable au sens de l'ordonnance puisque, ainsi que le fait remarquer l’intimé,</w:t>
      </w:r>
    </w:p>
    <w:p>
      <w:r>
        <w:t>A/1496/2013 - 5/6 - l’assuré aurait pu charger un proche de poster le formulaire à sa place ou encore informer son conseiller de sa situation. A ce stade, il paraît judicieux de rappeler que,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Or, en l'occurrence, les allégations du recourant selon lesquelles il aurait été dans l'incapacité même de déléguer la tâche – au demeurant simple – de poster son formulaire de recherches, ne paraissent pas convaincantes. En particulier, le traitement que le recourant invoque consiste en un antidépresseur classique. Par ailleurs, rien ne permet d'admettre que l'assuré aurait été privé de toute faculté de discernement, au point de ne pouvoir joindre une tierce personne – quelle qu'elle soit. Il semble d'ailleurs bien plutôt qu'il n'ait pas cherché à confier la tâche de poster ses recherches à quiconque puisqu'il a admis en audience ne pas y avoir pensé. Eu égard à ces considérations, il faut retenir que le retard est fautif. Reste à examiner la gravité de la faute. Or, la faute n'est pas de gravité comparable entre un assuré qui ne remet pas ses recherches, malgré le double délai accordé, et celui qui ne dispose plus de cette seconde chance. Par ailleurs, appliquer une sanction identique à l'assuré qui remet avec retard les recherches effectuées et à celui qui n'en fait pas du tout est contraire au principe de proportionnalité, ainsi que l’a relevé la Cour de céans dans un arrêt récent (ATAS 1085/2011 du 17 novembre 2011). En l’espèce, la Cour retient qu’en remettant ses recherches avec retard pour la seconde fois et au vu des circonstances, l'assuré n’a commis qu’une faute légère. L'intimé l'a d'ailleurs considérée comme telle puisqu'il a infligé une sanction inférieure au minimum prévu par le barème du SECO en cas de second manquement de ce type. Dès lors, la durée de la sanction infligée n'apparaît pas critiquable. Eu égard aux considérations qui précèdent, le recours est rejeté.</w:t>
      </w:r>
    </w:p>
    <w:p>
      <w:r>
        <w:t>A/1496/2013 - 6/6 -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