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ATAS/654/2024 vom 29. August 2024</w:t>
      </w:r>
    </w:p>
    <w:p>
      <w:r>
        <w:t>GE Cour de justice, 2024-08-29, FR</w:t>
      </w:r>
    </w:p>
    <w:p>
      <w:r>
        <w:rPr>
          <w:b/>
        </w:rPr>
        <w:t xml:space="preserve">Quelle: </w:t>
      </w:r>
      <w:r>
        <w:t>https://mcp.opencaselaw.ch/entscheid/ge_gerichte_ATAS_654_2024</w:t>
      </w:r>
    </w:p>
    <w:p>
      <w:r>
        <w:t>FR: GE_GERICHTE ATAS/654/2024 du 29 août 2024</w:t>
      </w:r>
    </w:p>
    <w:p>
      <w:r>
        <w:t>IT: GE_GERICHTE ATAS/654/2024 del 29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de l’OAI de refus de prestations invalidité.</w:t>
      </w:r>
    </w:p>
    <w:p>
      <w:r>
        <w:rPr>
          <w:b/>
        </w:rPr>
        <w:t>E. 3.1</w:t>
      </w:r>
    </w:p>
    <w:p>
      <w:r>
        <w:t>À teneur de l’art. 1 al. 1 LAI, les dispositions de la LPGA s’appliquent à l’assurance-invalidité, à moins que la loi n’y déroge expressément.</w:t>
      </w:r>
    </w:p>
    <w:p>
      <w:r>
        <w:rPr>
          <w:b/>
        </w:rPr>
        <w:t>E. 3.2</w:t>
      </w:r>
    </w:p>
    <w:p>
      <w:r>
        <w:t>Le 1er janvier 2022, sont entrées en vigueur les modifications de la LAI du 19 juin 2020 (développement continu de l’AI ; RO 2021 705).</w:t>
      </w:r>
    </w:p>
    <w:p>
      <w:r>
        <w:t>A/886/2024 - 8/22 -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à teneur de l’état de fait, l’éventuel droit à la rente de l’assurée est né avant cette date, de sorte que les dispositions légales applicables seront citées dans leur ancienne teneur.</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w:t>
      </w:r>
    </w:p>
    <w:p>
      <w:r>
        <w:t>A/886/2024 - 9/22 - ou le DSM-IV (ATF 143 V 409 consid. 4.5.2 ; 141 V 281 consid. 2.1 et 2.1.1 ; 130 V 396 consid. 5.3 et 6).</w:t>
      </w:r>
    </w:p>
    <w:p>
      <w:r>
        <w:rPr>
          <w:b/>
        </w:rPr>
        <w:t>E. 5.2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A/886/2024 - 10/22 -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w:t>
      </w:r>
    </w:p>
    <w:p>
      <w:r>
        <w:t>A/886/2024 - 11/22 -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7.3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w:t>
      </w:r>
    </w:p>
    <w:p>
      <w:r>
        <w:t>A/886/2024 - 12/22 -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w:t>
      </w:r>
    </w:p>
    <w:p>
      <w:r>
        <w:t>A/886/2024 - 13/22 -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9.1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w:t>
      </w:r>
    </w:p>
    <w:p>
      <w:r>
        <w:t>A/886/2024 - 14/22 - habituels au sens de l'art. 28a al. 2 LAI n'a aucun effet sur la méthode d'évaluation de l'invalidité (ATF 131 V 51 consid. 5.1 et 5.2).</w:t>
      </w:r>
    </w:p>
    <w:p>
      <w:r>
        <w:rPr>
          <w:b/>
        </w:rPr>
        <w:t>E. 9.2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9.3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w:t>
      </w:r>
    </w:p>
    <w:p>
      <w:r>
        <w:t>A/886/2024 - 15/22 - une inexactitude dans les résultats de l’enquête (ATF 140 V 543 consid. 3.2.1 et 129 V 67 consid. 2.3.2 publié in VSI 2003 p. 221 ; arrêts du Tribunal fédéral 9C_625/2017 du 26 mars 2018 consid. 6.2 et I 733/06 du 16 juillet 2007).</w:t>
      </w:r>
    </w:p>
    <w:p>
      <w:r>
        <w:rPr>
          <w:b/>
        </w:rPr>
        <w:t>E. 9.4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w:t>
      </w:r>
    </w:p>
    <w:p>
      <w:r>
        <w:t>A/886/2024 - 16/22 -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11</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la recourante critique la valeur probante de l’expertise médicale, l’absence d’enquête ménagère, le taux d’exigibilité retenu, ainsi que le calcul du degré d’invalidité. L’OAI a retenu un statut de personne consacrant 28% de son temps à la sphère professionnelle et 72% aux travaux habituels du ménage. Ce pourcentage n’est, à juste titre, pas critiqué par la recourante qui a, par ailleurs, confirmé dans un questionnaire sur le statut, daté du 12 juillet 2022, qu’elle n’envisageait pas de modifier son taux d’activité professionnelle. Ce point étant établi, il convient de relever que, conformément au principe d’économie de procédure, il n’est pas nécessaire, à ce stade, d’examiner en détail l’estimation de la capacité de travail dans la sphère professionnelle dès lors que le pourcentage le plus important - et qui est déterminant pour atteindre le taux minimum de 40% d’invalidité - est dédié à la sphère des travaux ménagers, ce qui nécessite un complément d’instruction, comme cela sera expliqué infra.</w:t>
      </w:r>
    </w:p>
    <w:p>
      <w:r>
        <w:rPr>
          <w:b/>
        </w:rPr>
        <w:t>E. 12.1</w:t>
      </w:r>
    </w:p>
    <w:p>
      <w:r>
        <w:t>En ce qui concerne la valeur probante de l’expertise, le rapport des experts correspond en tous points aux exigences en la matière. Il a été établi en parfaite</w:t>
      </w:r>
    </w:p>
    <w:p>
      <w:r>
        <w:t>A/886/2024 - 17/22 - connaissance du dossier médical, dont les pièces sont énumérées et résumées. Les constatations résultant de l’examen somatique ainsi que de l’examen psychiatrique sont clairement décrites, ce dernier étant complété par un bilan neuropsychologique avec test de QI. L’évaluation consensuelle confirme que, sur le plan somatique, avec un indice de l’étendue de la douleur de 5/19 et une échelle des symptômes de 4/12, l’expert rhumatologue ne retient pas le diagnostic de fibromyalgie évoqué précédemment, pas plus qu’il ne retient une hypermobilité articulaire, en présence d’un score de Beighton de 1/9. Sur le plan psychiatrique, l’experte psychiatre a clairement décrit le trouble envahissant du développement qui s’est présenté dans l’enfance de l’assurée, avec des interactions sociales réciproques et des modalités de communication altérées qui infiltrent l’ensemble du fonctionnement du sujet, quelles que soient les situations. L’assurée a fréquenté l’école spécialisée de la Petite Ourse puis, en raison de maltraitance, a bénéficié de placements gérés par le Service de protection des mineurs, qui n’ont pas fonctionné. Enfin, elle a « vécu dans la rue » de l’âge de 14 à 18 ans, après quoi elle a rencontré son mari et a quitté la rue. L’anamnèse personnelle, familiale et professionnelle est très fouillée, et les experts ont rapporté leurs observations cliniques de manière détaillée. Les diagnostics retenus sont soigneusement motivés, et les experts ont précisé sur quels critères ils se fondaient en évoquant les diagnostics différentiels. Ils ont, en outre, exposé l’avis des autres intervenants ainsi que leurs propres appréciations. Les conclusions sont, elles aussi, claires et motivées. Les conclusions de l’examen neuropsychologique des 9 et 23 mai 2022 confortent le diagnostic de la psychiatre, les résultats des tests étant, selon la psychologue spécialiste en neuropsychologie FSP J______, compatibles avec une pathologie psychiatrique, soit un trouble de la personnalité. Les reproches du mandataire de la recourante à l’encontre des rapports d’expertise tombent à faux ; ils consistent à tenter d’opposer les appréciations médicales des médecins traitants avec celles des experts, pour contester la valeur probante de l’expertise. Ainsi, la recourante se fonde sur le rapport médical du Dr C______ du 17 septembre 2020. Or, ce dernier a clairement exposé (pièce 29, chargé intimé, ch. 8) qu’il n’y a pas de répercussion des troubles somatiques de l’assurée sur la vie sociale et la tenue du ménage en dehors des limitations fonctionnelles (sous ch. 6), soit éviter la position à genoux et accroupie, le port de charges de plus de 5 kg, les gestes répétitifs, les escaliers et les échelles, la marche de plus de 60 minutes d’affilée et les terrains irréguliers. Il conclut qu’au vu du contexte socioprofessionnel et des limitations fonctionnelles, seule la dernière activité de patrouilleuse scolaire lui paraît exigible à 30%. Il est vrai qu’il mentionne que les tâches ménagères sont « forcément déjà très lourdes vu le contexte de famille</w:t>
      </w:r>
    </w:p>
    <w:p>
      <w:r>
        <w:t>A/886/2024 - 18/22 - nombreuse » mais uniquement pour en tirer l’argument qu’en raison de ces dernières, et de la présence de cinq enfants, il lui semble impossible d’exiger de l’assurée une activité professionnelle en dehors d’un temps très partiel. On ne saurait en tirer un argument selon lequel, en l’absence de toute activité professionnelle, l’assurée ne disposerait pas d’une pleine capacité dans les travaux du ménage. La recourante cite également le certificat médical du Dr B______ du 5 octobre 2022 pour en tirer l’argument qu’elle souffrirait de douleurs vraisemblablement liées à une fibromyalgie. Or, le diagnostic de fibromyalgie n’a pas été évoqué par le Dr C______ dans son rapport du 17 septembre 2020. Ce diagnostic ne figure pas non plus dans le rapport médical de la psychiatre D______, daté du 31 octobre 2020, pas plus que dans le rapport médical de la psychiatre E______, du 14 décembre 2020 ; ce n’est que dans son rapport médical du 17 juin 2021 que la psychiatre E______ mentionne, pour la première fois, une « fibromyalgie très handicapante », sans toutefois fournir aucun détail sur les constatations qui lui permettent d’aboutir à cette conclusion. Enfin, le Dr B______ conclut que la recourante est limitée dans le temps à ses activités quotidiennes, par opposition à ses activités professionnelles, sans remettre en question sa capacité à effectuer lesdites activités quotidiennes. On relèvera encore que, dans le rapport de consultation d’antalgie ambulatoire daté du 26 mai 2023, le motif de consultation est celui de « douleurs diffuses au dos et aux quatre membres » et le diagnostic posé est celui de radiculalgies lombaires chroniques bilatérales et non pas de fibromyalgie, terme qui n’apparaît à aucun moment dans le rapport médical de trois pages rédigé par le Dr H______. Il résulte de ce qui précède que le diagnostic de fibromyalgie doit être écarté.</w:t>
      </w:r>
    </w:p>
    <w:p>
      <w:r>
        <w:rPr>
          <w:b/>
        </w:rPr>
        <w:t>E. 12.2</w:t>
      </w:r>
    </w:p>
    <w:p>
      <w:r>
        <w:t>S’agissant des douleurs diffuses au dos et aux quatre membres, le rapport de consultation d’antalgie ambulatoire du 26 mai 2023 mentionne - sous la rubrique « Anamnèse douleur » - que, selon l’expertisée, son activité générale a considérablement diminué. Elle n’arrive plus à réaliser ses travaux domestiques seule et est obligée de demander de l’aide à ses enfants. Le score du questionnaire « Oswestry » montre une capacité fonctionnelle modérée à 28%. La recourante ajoute qu’elle a des difficultés à se laver, s’habiller seule, qu’elle ne peut pas soulever des charges et qu’elle est limitée à 10 minutes de marche. Le Dr H______ mentionne, au regard des plaintes de l’assurée que, selon le score global d'handicap fonctionnel résultant du test Oswestry Disability Index, soit un questionnaire complété par l’assurée selon ses perceptions subjectives, la capacité fonctionnelle serait jugée comme modérée à 28%. On relèvera qu’aucun élément objectivé par le médecin ne permet de confirmer les déclarations de la recourante lors de la consultation. Étant encore précisé que le Dr H______ a proposé une prise en charge multimodale qui n’a été que partiellement acceptée par l’assurée. En ce qui concerne un enseignement TENS, soit une ressource de traitement</w:t>
      </w:r>
    </w:p>
    <w:p>
      <w:r>
        <w:t>A/886/2024 - 19/22 - autogéré, l’assurée - selon les explications du médecin - « ne semble pas motivée pour cette thérapie », pas plus qu’elle n’envisage une proposition interventionnelle, par la mise en place de blocs anesthésiques diagnostiques des branches médianes lombaires. En ce qui concerne la capacité à effectuer les travaux habituels dans la sphère ménagère, le certificat médical de la Dre D______, relatant le status au 16 juillet 2020, mentionne que l’assurée fait le ménage à fond au point de se faire mal au dos ou à la jambe ou de « péter les plombs », mais qu’elle termine le ménage « même mal fait », ajoutant être aidée pour faire le ménage par ses trois enfants aînés et par son mari. Néanmoins, et de manière quelque peu paradoxale, la Dre E______, dans son certificat médical du 14 décembre 2020 (établi cinq mois après celui de la Dre D______), mentionne que la patiente lui dit avoir cinq enfants et très bien s’occuper d’eux, ce qui la structure et la rend apaisée. Elle déclare « bien faire son ménage » et « distribuer ses tâches à ses enfants, selon leurs capacités ». Les déclarations de la recourante à ses médecins traitants, à cinq mois d’intervalle, concernant sa capacité à effectuer les tâches ménagères sont donc fluctuantes. La recourante ne mentionne pas des empêchements dans le ménage, dans son opposition du 5 octobre 2022, et les difficultés mentionnées par la patiente lors de la consultation du 26 mai 2023 n’apparaissent pas dans le certificat médical de la Dre E______, du 12 octobre 2022, dans lequel cette dernière conclut à une « incapacité de 100% pour exercer une activité professionnelle », sans mentionner, à aucun moment, des difficultés dans la sphère ménagère. Les difficultés dans la sphère ménagère ne sont pas non plus citées par son médecin traitant, le DR B______, et n’apparaissent ni dans son rapport médical daté du 2 septembre 2020, ni dans son dernier certificat daté du 5 octobre 2022. Le rapport d’expertise ne mentionne pas non plus de plaintes en ce qui concerne des difficultés dans la sphère du ménage ; au contraire, il est mentionné en p. 16 de l’expertise que « les ressources de l’assurée lui permettent d’assumer son ménage, la prise en charge de ses cinq enfants, de 15 à 3 ans, avec leur aide, et de marcher régulièrement 1-2 h/jour de manière fractionnée ». Appelée à décrire une journée quotidienne, l’assurée déclare se lever à 7h pour les enfants, qui se préparent tout seul et débarrassent la table, puis les amener à l’école à huit minutes à pied, après quoi elle va avec le petit de trois ans au parc et rentre à 10h pour préparer à manger. Les deux avant-derniers enfants mangent à la cuisine scolaire ; le repas de midi se fait donc à trois ou quatre personnes et le grand ne vient qu’une fois par semaine car il mange « au foot ». L’après-midi, après une sieste de trois heures, nouvelle promenade au parc puis goûter à 16h pour tout le monde sauf pour l'enfant de 13 ans qui reste au parc. À 18h, souper puis douche et les enfants vont au lit. Ménage et coucher à 22h30. S’agissant du ménage, l’assurée déclare passer l’aspirateur, repasser, faire la lessive (machine à laver à la</w:t>
      </w:r>
    </w:p>
    <w:p>
      <w:r>
        <w:t>A/886/2024 - 20/22 - maison) avec les enfants qui aident beaucoup, rangent leurs chambres et font parfois à manger. Le petit de trois ans commence à être propre et celui de sept ans va à l’appui scolaire une fois par semaine ; Madame essaie de l’aider pour les devoirs. Elle mentionne encore avoir une voiture, qu’elle partage avec son mari séparé, et l’utiliser pour les courses en France pendant le week-end. Selon les observations du médecin durant l’examen, l’assurée est autonome dans les gestes du déshabillage et de l’habillage. Selon les conclusions de l’experte psychiatre, l’assurée souffre d’un trouble de la personnalité émotionnellement labile avec des chances de guérison faibles, avec, dans le meilleur des cas, une compensation du trouble de la personnalité, avec la possibilité de réintégrer une activité professionnelle. Elle ajoute ne pas avoir remarqué d’incohérence. En dépit des limitations fonctionnelles décrites en p. 40 et 41 du rapport d’expertise et citées par la recourante au niveau de sa réplique du 21 juin 2024 (p. 10), on ne voit pas en quoi ces dernières diminueraient sa capacité de travail dans la sphère ménagère. Partant, et comme relevé dans la note de travail de l’OAI du 26 août 2022 (pièce 63, chargé intimé), qui se fonde sur les rapports des Drs B______, C______, D______ et E______ et le rapport d’expertise, la chambre de céans considère que, en l’état du dossier, au regard des déclarations de la recourante, de ses médecins traitants et du rapport d’expertise, l’OAI pouvait, à bon droit, en date du 26 août 2022, considérer qu’il n’existait pas d’empêchement dans la sphère des travaux du ménage et renoncer à mandater une enquête ménagère. Cependant, suite au diagnostic de douleurs chroniques dues à des radiculalgies lombaires chroniques bilatérales posé par le Dr H______ dans sa lettre du 22 janvier 2024 adressé au Dr B______, l’OAI a modifié son appréciation et a considéré que l’assurée ne bénéficiait que d’une capacité de travail de 50% dans la sphère professionnelle, dès le 26 mai 2023, jour de la consultation. Il n’a, en revanche, pas modifié son appréciation d’une capacité de 100% de l’assurée dans l’accomplissement des travaux ménagers. Le rapport médical du Dr H______ ne permet pas d’apprécier si les douleurs chroniques ont un effet dans la sphère ménagère, étant rappelé que l'invalidité est fixée selon une méthode spécifique pour cette activité. Le médecin semble désigner un état qui existe depuis plusieurs années (soit depuis 2020, selon ce qu’il mentionne sous la rubrique « Anamnèse douleur »), sans que l’on puisse discerner si l’intensité des douleurs chroniques aurait augmenté depuis lors, de telle sorte que l’assurée ne serait plus à même de s’occuper des travaux dans la sphère ménagère. Il mentionne toutefois que « le froid, la marche prolongée, la fatigue, le stress et l’énervement » peuvent aggraver les douleurs et relève un « mécanisme de catastrophisation important » sous la rubrique « Anamnèse psycho-sociale ».</w:t>
      </w:r>
    </w:p>
    <w:p>
      <w:r>
        <w:t>A/886/2024 - 21/22 -</w:t>
      </w:r>
    </w:p>
    <w:p>
      <w:r>
        <w:rPr>
          <w:b/>
        </w:rPr>
        <w:t>E. 12.3</w:t>
      </w:r>
    </w:p>
    <w:p>
      <w:r>
        <w:t>Il résulte de ce qui précède que ni les rapports des médecins traitants, ni l’expertise ne permettent d’établir avec certitude - au regard des douleurs chroniques dont elle souffre – la capacité de l’assurée de s’occuper de son ménage, avec l’aide de ses enfants, étant rappelé que ceux-ci sont nés, respectivement : I______ en ______ 2007, K______ en ______ 2008, L______ en ______ 2011, M______ en ______ 2014 et N______ en ______ 2019. Concernant ce dernier point, la lettre produite par le recourante dans le cadre de son recours, dont elle explique qu’elle a été écrite par son fils aîné I______, ne permet pas de déterminer l’exigibilité de l’aide des enfants dans le cadre des travaux ménagers. À la lecture du rapport du Dr H______, on ne peut exclure que les douleurs chroniques se soient aggravées depuis la fin de l’année 2022 et aient impacté la capacité de l’assurée d’effectuer ses travaux dans la sphère ménagère.</w:t>
      </w:r>
    </w:p>
    <w:p>
      <w:r>
        <w:rPr>
          <w:b/>
        </w:rPr>
        <w:t>E. 13.1</w:t>
      </w:r>
    </w:p>
    <w:p>
      <w:r>
        <w:t>À l’aune de ce qui précède, la chambre de céans considère qu’une enquête ménagère est désormais indispensable, afin d’évaluer la capacité de la recourante d’effectuer ses travaux ménagers et son rendement, ainsi que le pourcentage d’aide exigible de la part des enfants.</w:t>
      </w:r>
    </w:p>
    <w:p>
      <w:r>
        <w:rPr>
          <w:b/>
        </w:rPr>
        <w:t>E. 13.2</w:t>
      </w:r>
    </w:p>
    <w:p>
      <w:r>
        <w:t>Au vu de ce qui précède, le recours sera partiellement admis et la décision du 12 février 2024 sera annulée.</w:t>
      </w:r>
    </w:p>
    <w:p>
      <w:r>
        <w:rPr>
          <w:b/>
        </w:rPr>
        <w:t>E. 13.3</w:t>
      </w:r>
    </w:p>
    <w:p>
      <w:r>
        <w:t>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13.4</w:t>
      </w:r>
    </w:p>
    <w:p>
      <w:r>
        <w:t>Au vu du sort du recours, il y a lieu de condamner l'intimé au paiement d'un émolument de CHF 200.- (art. 69 al. 1bis LAI).</w:t>
      </w:r>
    </w:p>
    <w:p>
      <w:r>
        <w:t>A/886/2024 - 22/22 -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