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ATAS/654/2011 vom 27. Juni 2011</w:t>
      </w:r>
    </w:p>
    <w:p>
      <w:r>
        <w:t>GE Cour de justice, 2011-06-27, FR</w:t>
      </w:r>
    </w:p>
    <w:p>
      <w:r>
        <w:rPr>
          <w:b/>
        </w:rPr>
        <w:t xml:space="preserve">Quelle: </w:t>
      </w:r>
      <w:r>
        <w:t>https://mcp.opencaselaw.ch/entscheid/ge_gerichte_ATAS_654_2011</w:t>
      </w:r>
    </w:p>
    <w:p>
      <w:r>
        <w:t>FR: GE_GERICHTE ATAS/654/2011 du 27 juin 2011</w:t>
      </w:r>
    </w:p>
    <w:p>
      <w:r>
        <w:t>IT: GE_GERICHTE ATAS/654/2011 del 27 giugno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Sa compétence pour juger du cas d’espèce est ainsi établie. Déposé dans le délai et la forme prescrits (art. 56 ss LPGA), le recours est recevable.</w:t>
      </w:r>
    </w:p>
    <w:p>
      <w:r>
        <w:rPr>
          <w:b/>
        </w:rPr>
        <w:t>E. 2</w:t>
      </w:r>
    </w:p>
    <w:p>
      <w:r>
        <w:t>La loi fédérale sur la partie générale du droit des assurances sociales du 6 octobre 2000 (LPGA) est entrée en vigueur le 1er janvier 2003, entraînant a modification de nombreuses dispositions légales dans le régime des prestations complémentaires de l'AVS/AI. Le cas d'espèce reste cependant régi par les dispositions de la LPC en vigueur jusqu'au 31 décembre 2002, eu égard au principe selon lequel les règles applicables sont celles en vigueur au moment où les faits juridiquement déterminants se sont produits. Ainsi, la question de la restitution des prestations complémentaires indûment perçues durant la période du 1er janvier 2001 et le 31</w:t>
      </w:r>
    </w:p>
    <w:p>
      <w:r>
        <w:t>A/200/2011 - 5/11 - décembre 2002 doit être examinée au regard de l'ancien droit (ATF 130 V 445 et les références; cf. aussi ATF 130 V 329). Pour la période postérieure, la LPGA est pleinement applicable.</w:t>
      </w:r>
    </w:p>
    <w:p>
      <w:r>
        <w:rPr>
          <w:b/>
        </w:rPr>
        <w:t>E. 3</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(le 1er janvier 2003), l'art. 27 al. 1 OPC- 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np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(ATF np P 22/2006 du 23 janvier 2007 et les nombreuses références). b) En l'espèce, il est manifeste que le recourant, qui a omis d'annoncer l'héritage qu'il avait fait, a ainsi perçu depuis janvier 2001 des prestations auxquelles il ne pouvait</w:t>
      </w:r>
    </w:p>
    <w:p>
      <w:r>
        <w:t>A/200/2011 - 6/11 - prétendre. En effet, que l'actif successoral s'élève à 12'693'666 fr., comme l'a d'abord retenu à tort l'administration fiscale, ou à 6'273'013 fr., après rectification à la suite de la procédure administrative, celui-ci était considérable et excluait à l'évidence toute aide de la part de l'intimé. Même s'il est possible que la valeur des titres nantis dans le cadre de crédits lombards a chuté, il ne paraît pas crédible que l'entier des titres de la succession (7'729'124 fr.) ait été investie dans ce type de titres, d'une part, puis, d'autre part, intégralement perdu. De toute manière, la succession comportait également des immeubles, à l'étranger et en Suisse (d'une valeur totale fiscale de plus de 5 millions fr.) ainsi qu'une assurance-vie. Il n'apparaît pas ni n'est allégué que ces biens, notamment immobiliers, étaient grevés de charges hypothécaires approchant ou couvrant leur valeur. A aucun moment, la succession n'a présenté un solde négatif. Le recourant en a, au demeurant, profité, puisqu'il ressort des taxations 2004 à 2009 figurant au dossier qu'il a perçu des revenus locatifs, voire a habité un des immeubles acquis par voie successorale. Le recourant est d'ailleurs toujours propriétaire de deux biens immobiliers à Genève dont il a hérité, dont la valeur fiscale nette a été estimée en 2008 à 1'633'919 fr. (2'881'919 fr. - moins les dettes hypothécaires), de sorte que sa fortune imposable s'élevait à plus de 1,5 mio fr. Selon les estimations de courtiers engagés par le recourant, l'appartement sis à Versoix a une valeur de vénale de 1'310'000 fr., respectivement de 1'415'000 fr., et la villa à Chêne-Bourg une valeur estimée à 750'000 fr. Les dettes hypothécaires de 700'000 fr. et de 542'000 fr. (selon la taxation pour l'année 2008) laissent un solde positif de 818'000 fr. environ. Même en imputant de cette somme l'arriéré fiscal de 459'295 fr. dû au 1er septembre 2010 ainsi que la charge fiscale courante de 28'000 fr., la fortune nette du recourant présente toujours un actif de 330'700 fr. Les conditions pour une révision formelle de la décision d'octroi de prestations étaient ainsi manifestement remplies.</w:t>
      </w:r>
    </w:p>
    <w:p>
      <w:r>
        <w:rPr>
          <w:b/>
        </w:rPr>
        <w:t>E. 4</w:t>
      </w:r>
    </w:p>
    <w:p>
      <w:r>
        <w:t>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Pour que le délai de prescription plus long prévu par le droit pénal s'applique, il n'est pas nécessaire que l'auteur de l'infraction ait été condamné (cf. ATF 118 V 193 consid. 4a; 113 V 256 consid. 4a; voir également ATF 122 III 225 consid. 4). L'art. 31 LPC prévoit qu'est puni d'une peine pécuniaire n'excédant pas 180 jours- amendes celui qui manque à son obligation de communiquer au sens de l'art. 31 LPGA. L'art. 146 al. 1 CP (escroquerie) prévoit une peine privative de liberté de cinq ans au plus ou une peine pécuniaire. Selon l'art. 97 al. 1 CP, l'action pénale se prescrit</w:t>
      </w:r>
    </w:p>
    <w:p>
      <w:r>
        <w:t>A/200/2011 - 7/11 - par 30 ans si l'infraction était passible d'une peine privative de liberté à vie, par 15 ans si elle était passible d'une peine privative de liberté de plus de trois ans, et de sept ans si elle était passible d'une autre peine. L'actuel art. 97 al. 1 CP est entré en vigueur le 1er novembre 2002. Avant cette date,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décrite à l'art. 31 LPC était donc de cinq ans. Il était de 10 ans pour une infraction à l'art. 146 al. 1 CP.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Afin de déterminer si l'intimé peut demander la restitution des prestations pour la période de dix ans, il convient donc d'examiner si le recourant s'est rendu coupable d'une escroquerie au sens de l'art. 146 CP.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w:t>
      </w:r>
    </w:p>
    <w:p>
      <w:r>
        <w:t>A/200/2011 - 8/11 -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c) En l'espèce, le recourant a violé son obligation d'annoncer à l'intimé qu'il avait fait un héritage. Cette omission ne procède, contrairement à ce qu'il semble soutenir, pas de sa bonne foi. Au vu de l'importance de l'actif successoral, dont il a immédiatement profité (revenus tirés des locations d'immeuble, habitation à disposition, notamment), il ne peut sérieusement faire valoir ne pas avoir tiré de bénéfice de la succession. La mauvaise foi crasse du recourant ne permet cependant pas à elle seule de retenir qu'il aurait fait preuve d'astuce au sens de l'art. 146 CP. Il est manifeste qu'en s'abstenant d'informer l'intimé du changement notable intervenu dans sa situation économique, le recourant espérait pouvoir continuer à bénéficier des prestations de celui-ci. Il est possible qu'il ait, également, tablé sur le fait que l'intimé ne mettrait pas à jour son dossier en lui réclamant ses dernières taxations fiscales à l'occasion de la révision périodique des prestations. Cela étant, l'intimé a versé ses prestations à partir de 1993 sans procéder par la suite à l'examen des conditions d'octroi. Le dossier qu'elle a produit ne comporte aucune invitation au recourant de produire des pièces relatives à sa situation financière au fil des quinze dernières années, ni aucun bordereau fiscal ou extrait de comptes produits par celui-ci. Par ailleurs, l'intimé n'a pas non plus fait usage de la possibilité que lui réservent les art. 39 et 39A LPCC de demander des renseignements à l'administration fiscale, comme elle semble l'avoir fait en 2010 seulement. Si elle l'avait fait à l'occasion du réexamen périodique, intervenant tous</w:t>
      </w:r>
    </w:p>
    <w:p>
      <w:r>
        <w:t>A/200/2011 - 9/11 - les quatre ans (art. 13 LPCC; art. 30 OPC-AVS/AI), il ne lui aurait pas échappé que la situation financière du recourant s'était fondamentalement modifiée depuis janvier 2001. En n'entreprenant pas, au moins à l'occasion du réexamen périodique, les démarches minimales consistant à réclamer les bordereaux de taxation des années écoulées depuis le dernier réexamen, l'intimé a agi de manière négligente et ne peut être considérée comme étant la dupe du recourant au sens de l'art. 146 CP. Les prestations versées à tort ne peuvent donc être réclamées que pour les cinq années, à savoir pour la période courant de juillet 2005 à juillet 2010.</w:t>
      </w:r>
    </w:p>
    <w:p>
      <w:r>
        <w:t>Les montants retenus dans les décisions querellées ne sont pas contestés. Ils sont détaillés par mois, de sorte qu'il est aisé de retrancher les montants versés avant le mois de juillet 2005. Les sommes versées à tort à titre de prestations complémentaires, pour la période de juillet 2005 au 31 mars 2009, sont ainsi de 66'009 fr. (139'245 fr. [prestations versées jusqu'au 31 mars 2009] - 73'236 fr. prestations versées du 1er janvier 2001 au 30 juin 2005, soit 2 x 6'888 fr. + 2 x 7'344 fr. + 6 x 614 fr. (PCC) + 2 x 9'000 fr. + 2 x 9'204 fr. + 6 x 780 fr. (PCF)) et pour la période du 1er avril 2009 au 30 juillet 2010 de 18'204 fr. Pour la période litigieuse, le subside à l'assurance-maladie a été de 27'711 fr. et la prise en charge des frais médicaux de 2'387 fr. 75. Le montant total indument perçu s'élève donc à 114'311 fr. 75 (66'009 fr. + 18'204 fr. + 27'711 fr. + 2'387 fr. 75).</w:t>
      </w:r>
    </w:p>
    <w:p>
      <w:r>
        <w:rPr>
          <w:b/>
        </w:rPr>
        <w:t>E. 5</w:t>
      </w:r>
    </w:p>
    <w:p>
      <w:r>
        <w:t>a)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Pour que la bonne foi de l'assuré soit admise, il faut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w:t>
      </w:r>
    </w:p>
    <w:p>
      <w:r>
        <w:t>A/200/2011 - 10/11 - Quant à la notion de situation difficile, selon l’art. 5 al. 1 et 4 de l’Ordonnance du 11 septembre 2002 sur la partie générale du droit des assurances sociales (OPGA), elle est retenue,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b) Au vu de ce qui précède, il paraît prématuré de se prononcer sur une éventuelle demande de remise que pourrait présenter le recourant. Il semble cependant douteux qu'il en remplisse les conditions, sa bonne foi ne pouvant être admise (cf. consid. 3b et 4c) et sa situation financière lui permettant aisément de s'acquitter de sa dette.</w:t>
      </w:r>
    </w:p>
    <w:p>
      <w:r>
        <w:rPr>
          <w:b/>
        </w:rPr>
        <w:t>E. 6</w:t>
      </w:r>
    </w:p>
    <w:p>
      <w:r>
        <w:t>En conclusion, le recours n'est admis que sur la quotité du montant réclamé par l'intimé. Le recourant obtenant partiellement gain de cause, une indemnité de 1'000 fr. lui sera accordée à titre de participation à ses frais et dépens (art. 61 let. g LPGA). Pour le surplus, la procédure est gratuite (art. 61 let. a LPGA).</w:t>
      </w:r>
    </w:p>
    <w:p>
      <w:r>
        <w:t>* * *</w:t>
      </w:r>
    </w:p>
    <w:p>
      <w:r>
        <w:t>A/200/2011 - 11/11 -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