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ATAS/654/2009 vom 29. Mai 2009</w:t>
      </w:r>
    </w:p>
    <w:p>
      <w:r>
        <w:t>GE Cour de justice, 2009-05-29, FR</w:t>
      </w:r>
    </w:p>
    <w:p>
      <w:r>
        <w:rPr>
          <w:b/>
        </w:rPr>
        <w:t xml:space="preserve">Quelle: </w:t>
      </w:r>
      <w:r>
        <w:t>https://mcp.opencaselaw.ch/entscheid/ge_gerichte_ATAS_654_2009</w:t>
      </w:r>
    </w:p>
    <w:p>
      <w:r>
        <w:t>FR: GE_GERICHTE ATAS/654/2009 du 29 mai 2009</w:t>
      </w:r>
    </w:p>
    <w:p>
      <w:r>
        <w:t>IT: GE_GERICHTE ATAS/654/2009 del 29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w:t>
      </w:r>
    </w:p>
    <w:p>
      <w:r>
        <w:t>A/1249/2008 - 8/12 -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la recourante peut prétendre une rente de l’assurance-invalidité, singulièrement celle de savoir quel est son degré d’invalidité éventuel et si, cas échéant, elle peut se voir octroyer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w:t>
      </w:r>
    </w:p>
    <w:p>
      <w:r>
        <w:t>A/1249/2008 - 9/12 -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La recourante fait grief à l’intimé d’avoir nié toute atteinte à la santé invalidante en se basant sur le rapport du SMR du 22 novembre 2006.</w:t>
      </w:r>
    </w:p>
    <w:p>
      <w:r>
        <w:t>A/1249/2008 - 10/12 - Sur le plan somatique, il apparaît que le Dr L___________ s’est en effet écarté des conclusions du Dr N__________, qui avait attesté d’une incapacité de travail. Cependant, ainsi que le relève le Dr O__________, le Dr L___________ a motivé ses conclusions par des observations cliniques et radiologiques précises et convaincantes, ceci après avoir procédé à examen clinique complet et détaillé de l’intéressée. Au surplus, aucun élément au dossier ne permet de mettre en doute les conclusions du Dr L___________ en dehors de l’attestation d’incapacité de travail du Dr N__________ évoquée supra. Quant aux troubles du sommeil invoqués par la recourante, force est de constater que les spécialistes ont certes constaté une « architecture globale du sommeil perturbée » mais ils ont aussi conclu que la polysomnographie était dans les limites de la norme, qu'une partie des anomalies observées pouvait être mise en relation avec un « effet de première nuit » et que l'index d'apnée ne permettait pas de retenir le diagnostic de syndrome d'apnées obstructives du sommeil. Reste la question d’éventuelles atteintes psychiques. Le Dr M__________ a conclu à l’absence de toute atteinte psychique, alors que la Dresse P__________ concluait à un état dépressif sévère avec éléments psychotiques. Il est vrai cependant que la Dresse P__________ n’a aucunement étayé ce diagnostic et s’est contentée de se faire l’écho des plaintes de sa patiente, de sorte que son avis ne saurait jeter le doute sur les conclusions du Dr M__________. Quant à la Dresse Q__________, force est de constater qu’elle ne s’est pas montrée très catégorique quant au diagnostic d'état dépressif avec éléments psychotiques retenue par sa collègue. Elle a d’emblée admis qu’il était difficile de déterminer si les bruits que disait entendre la patiente constituaient véritablement des symptômes psychotiques ou s’il s’agissait simplement des séquelles d’une opération de l’oreille. La Dresse Q__________ a également admis que l’on ne pouvait qualifier le traitement suivi par la patiente de « lourd ». D’un autre côté, le témoin a aussi précisé que, depuis avril 2008, l’état de la patiente, s’il avait varié, n’avait jamais été, au mieux, que de gravité moyenne. On peut également relever que la Dresse Q__________, si elle a certes estimé envisageable une reprise d’activité, a soumis cette dernière à certaines conditions et décrit une activité très légère et à temps partiel seulement. Ces éléments, s’ils ne sont pas suffisants pour s’écarter des conclusions du Dr M__________, sèment toutefois le doute, d’autant qu’un laps de temps pour le moins important s’est écoulé entre l’examen du SMR (22 novembre 2006) et la date à laquelle a été rendue la décision litigieuse (26 février 2008). Dans ces circonstances, il n’est pas exclu que l’état psychique de la recourante ait pu se dégrader, ce qui expliquerait la divergence importante entre les diagnostics retenus par le SMR et ceux des Dresse P__________ et Q__________. Le Dr O__________ évoquait d’ailleurs cette éventualité, préconisant, avant de solliciter</w:t>
      </w:r>
    </w:p>
    <w:p>
      <w:r>
        <w:t>A/1249/2008 - 11/12 - une expertise complémentaire, d’interroger le psychiatre traitant. L’audition de ce dernier ne permettant pas au Tribunal de se forger une opinion, il conviendrait de procéder à une expertise complémentaire sur le plan psychique, pour déterminer de quelle manière a évolué l’état de l’assurée et, s’il s’est aggravé, quelles sont les répercussions exactes sur sa capacité de travail et quelles activités pourraient être envisagées. Étant rappelé que le juge qui considère que les faits ne sont pas suffisamment élucidés peut renvoyer la cause à l’administration pour complément d’instruction ou procéder lui-même à une telle instruction complémentaire (RAMA 1993 p. 136). et qu’en matière d’assurance-invalidité, la première solution est en principe préférée (ATFA I 431/02 du 8 novembre 2002), la cause est renvoyée à l’intimé à charge pour ce dernier de confier le soin à un psychiatre indépendant de procéder à une nouvelle expertise. Eu égard aux considérations qui précèdent, le recours est partiellement admis.</w:t>
      </w:r>
    </w:p>
    <w:p>
      <w:r>
        <w:t>A/1249/2008 - 12/12 -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