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ATAS/654/2008 vom 17. Dezember 2003</w:t>
      </w:r>
    </w:p>
    <w:p>
      <w:r>
        <w:t>GE Cour de justice, 2003-12-17, FR</w:t>
      </w:r>
    </w:p>
    <w:p>
      <w:r>
        <w:rPr>
          <w:b/>
        </w:rPr>
        <w:t xml:space="preserve">Quelle: </w:t>
      </w:r>
      <w:r>
        <w:t>https://mcp.opencaselaw.ch/entscheid/ge_gerichte_ATAS_654_2008</w:t>
      </w:r>
    </w:p>
    <w:p>
      <w:r>
        <w:t>FR: GE_GERICHTE ATAS/654/2008 du 17 décembre 2003</w:t>
      </w:r>
    </w:p>
    <w:p>
      <w:r>
        <w:t>IT: GE_GERICHTE ATAS/654/2008 del 17 dicembre 2003</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t>A/957/2007 - 10/15 -</w:t>
      </w:r>
    </w:p>
    <w:p>
      <w:r>
        <w:rPr>
          <w:b/>
        </w:rPr>
        <w:t>E. 2</w:t>
      </w:r>
    </w:p>
    <w:p>
      <w:r>
        <w:t>Le recours interjeté respectant les forme et délai prévus par la loi (art. 56 à 60 LPGA), il y a lieu de le déclarer recevable.</w:t>
      </w:r>
    </w:p>
    <w:p>
      <w:r>
        <w:rPr>
          <w:b/>
        </w:rPr>
        <w:t>E. 3</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w:t>
      </w:r>
    </w:p>
    <w:p>
      <w:r>
        <w:rPr>
          <w:b/>
        </w:rPr>
        <w:t>E. 4</w:t>
      </w:r>
    </w:p>
    <w:p>
      <w:r>
        <w:t>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5</w:t>
      </w:r>
    </w:p>
    <w:p>
      <w:r>
        <w:t>En l'occurrence, il convient de prendre acte du fait que l'intimé a reconnu, dans son écriture du 13 mars 2007, qu'il y a eu incapacité totale de travail de septembre 2004 au 10 avril 2005. Cette appréciation est conforme à l'attestation du 10 janvier 2005 du Dr N_________ qui a posé le diagnostic de tendinopathie de la coiffe des rotateurs de l'épaule droite existant depuis avril 2004 et a attesté d'une incapacité totale de travail à compter du 8 septembre 2004. Eu égard à l'art. 88a al. 2 du règlement du 17 janvier 1961 sur l'assurance-invalidité (RAI), qui prévoit que si l'incapacité de gain s'aggrave, il y a lieu de considérer que ce changement accroit, le cas échéant, le droit aux prestations dès qu'il a duré trois mois sans interruption notable, il y a lieu de considérer en l'occurrence que l'état de santé de l'assurée s'est en tout cas aggravé temporairement de manière à lui ouvrir droit à une rente entière du 8 décembre 2004 au 10 juillet. 2005. En ce sens, le recours est donc partiellement admis. Pour le reste, le litige porte sur la question de savoir si l'état de santé de l'assurée s'est aggravé depuis la décision initiale du 17 décembre 2003 au point de lui ouvrir droit à une rente plus élevée.</w:t>
      </w:r>
    </w:p>
    <w:p>
      <w:r>
        <w:t>A/957/2007 - 11/15 -</w:t>
      </w:r>
    </w:p>
    <w:p>
      <w:r>
        <w:rPr>
          <w:b/>
        </w:rPr>
        <w:t>E. 6</w:t>
      </w:r>
    </w:p>
    <w:p>
      <w:r>
        <w:t>Selon l'art. 17 LPGA (applicable à compter du 1er janvier 2003),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 et les références).</w:t>
      </w:r>
    </w:p>
    <w:p>
      <w:r>
        <w:rPr>
          <w:b/>
        </w:rPr>
        <w:t>E. 7</w:t>
      </w:r>
    </w:p>
    <w:p>
      <w:r>
        <w:t>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t>A/957/2007 - 12/15 -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ch. 2 et les références).</w:t>
      </w:r>
    </w:p>
    <w:p>
      <w:r>
        <w:rPr>
          <w:b/>
        </w:rPr>
        <w:t>E. 8</w:t>
      </w:r>
    </w:p>
    <w:p>
      <w:r>
        <w:t>septembre 2004 au 10 avril 2005 lui ouvrant droit à une rente entière pour une période limitée du 8 décembre 2004 au 10 juillet. 2005. En ce sens, le recours est partiellement admis.</w:t>
      </w:r>
    </w:p>
    <w:p>
      <w:r>
        <w:t>A/957/2007 - 15/15 -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