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ATAS/653/2024 vom 29. August 2024</w:t>
      </w:r>
    </w:p>
    <w:p>
      <w:r>
        <w:t>GE Cour de justice, 2024-08-29, FR</w:t>
      </w:r>
    </w:p>
    <w:p>
      <w:r>
        <w:rPr>
          <w:b/>
        </w:rPr>
        <w:t xml:space="preserve">Quelle: </w:t>
      </w:r>
      <w:r>
        <w:t>https://mcp.opencaselaw.ch/entscheid/ge_gerichte_ATAS_653_2024</w:t>
      </w:r>
    </w:p>
    <w:p>
      <w:r>
        <w:t>FR: GE_GERICHTE ATAS/653/2024 du 29 août 2024</w:t>
      </w:r>
    </w:p>
    <w:p>
      <w:r>
        <w:t>IT: GE_GERICHTE ATAS/653/2024 del 29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Déposé dans les forme et délai prévus par la loi (art. 56ss LPGA), le recours est recevable.</w:t>
      </w:r>
    </w:p>
    <w:p>
      <w:r>
        <w:rPr>
          <w:b/>
        </w:rPr>
        <w:t>E. 2</w:t>
      </w:r>
    </w:p>
    <w:p>
      <w:r>
        <w:t>Au vu des conclusions prises dans la première écriture de recours, le litige porte tant sur le degré d’invalidité de la recourante que sur son droit à des mesures d’ordre professionnel.</w:t>
      </w:r>
    </w:p>
    <w:p>
      <w:r>
        <w:rPr>
          <w:b/>
        </w:rPr>
        <w:t>E. 3</w:t>
      </w:r>
    </w:p>
    <w:p>
      <w:r>
        <w:t>Il convient en premier lieu de statuer sur la requête de suspension de la procédure. Aux termes de l’art. 14 al. 1 de la loi sur la procédure administrative du 12 septembre 1985 (LPA - E 5 10), lorsque le sort d’une procédure administrative</w:t>
      </w:r>
    </w:p>
    <w:p>
      <w:r>
        <w:t>A/4030/2023 - 7/16 -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78 LPA prescrit par ailleurs que l’instruction du recours est suspendue par la requête simultanée de toutes les parties (let. a) ; le décès d’une partie (let. b) ; la faillite d’une partie (let. c) ; sa mise sous curatelle de portée générale (let. d) ; la cessation des fonctions en vertu desquelles l’une des parties agissait (let. e) ; le décès, la démission, la suspension ou la destitution de l’avocat ou du mandataire qualifié constitué (let. f). Aucune de ces conditions n’est réalisée en l’espèce, dès lors en particulier qu’il n’y a pas de procédure pendante qui pourrait avoir une incidence sur l’issue du présent litige, et que l’intimé n’a pas donné son accord à la suspension de la procédure. La requête de la recourante sera ainsi rejetée.</w:t>
      </w:r>
    </w:p>
    <w:p>
      <w:r>
        <w:rPr>
          <w:b/>
        </w:rPr>
        <w:t>E. 4</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 invalidité], FF 2017 2442). Il convient en préambule de rappeler ce qui suit au sujet du droit applicable.</w:t>
      </w:r>
    </w:p>
    <w:p>
      <w:r>
        <w:rPr>
          <w:b/>
        </w:rPr>
        <w:t>E. 4.1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(al. 2).</w:t>
      </w:r>
    </w:p>
    <w:p>
      <w:r>
        <w:rPr>
          <w:b/>
        </w:rPr>
        <w:t>E. 4.2</w:t>
      </w:r>
    </w:p>
    <w:p>
      <w:r>
        <w:t>L’art. 28b LAI en vigueur depuis le 1er janvier 2022 dispose que la quotité de la rente est fixée en pourcentage d’une rente entière (al. 1). Pour un taux d’invalidité compris entre 50 et 69%, la quotité de la rente correspond au taux</w:t>
      </w:r>
    </w:p>
    <w:p>
      <w:r>
        <w:t>A/4030/2023 - 8/16 - d’invalidité (al. 2). Pour un taux d’invalidité supérieur ou égal à 70%, l’assuré a droit à une rente entière (al. 3). L’al. 4 détaille les taux de rente correspondant aux degrés d’invalidité entre 40% et 50%. La lettre b des dispositions transitoires relatives à la modification de la LAI du 19 juin 2020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 On rappellera ici que l’art. 17 LPGA régissant la révision du droit à la rente en cas de modification du taux d’invalidité s’applique également à la décision par laquelle une rente échelonnée dans le temps est accordée avec effet rétroactif (arrêt du Tribunal fédéral 9C_244/2020 du 5 janvier 2021 consid. 4.3.1).</w:t>
      </w:r>
    </w:p>
    <w:p>
      <w:r>
        <w:rPr>
          <w:b/>
        </w:rPr>
        <w:t>E. 4.3</w:t>
      </w:r>
    </w:p>
    <w:p>
      <w:r>
        <w:t>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4.4</w:t>
      </w:r>
    </w:p>
    <w:p>
      <w:r>
        <w:t>En l’espèce, le droit à la rente est né au plus tôt une année après l’incapacité de travail ayant débuté le 25 février 2021, soit en février 2022. C’est ainsi le nouveau droit qui est applicable.</w:t>
      </w:r>
    </w:p>
    <w:p>
      <w:r>
        <w:rPr>
          <w:b/>
        </w:rPr>
        <w:t>E. 5</w:t>
      </w:r>
    </w:p>
    <w:p>
      <w:r>
        <w:t>L'invalidité est une notion économique et non médicale, où sont prises en compte les répercussions de l'atteinte à la santé sur la capacité de gain (arrêt du Tribunal fédéral I 15/06 du 21 décembre 2006 consid. 2.2).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w:t>
      </w:r>
    </w:p>
    <w:p>
      <w:r>
        <w:t>A/4030/2023 - 9/16 -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15 LAI dispose que l’assuré auquel son invalidité rend difficile le choix d’une profession ou l’exercice de son activité antérieure a droit à l’orientation professionnelle.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 7 mars 2021 consid. 7.3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w:t>
      </w:r>
    </w:p>
    <w:p>
      <w:r>
        <w:t>A/4030/2023 - 10/16 -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124 V 108 consid. 3a).</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w:t>
      </w:r>
    </w:p>
    <w:p>
      <w:r>
        <w:rPr>
          <w:b/>
        </w:rPr>
        <w:t>E. 7.1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la manière la plus concrète possible. Il se déduit ainsi en principe du salaire réalisé en dernier lieu par la personne assurée avant l'atteinte à la santé, en tenant compte de l'évolution des salaires jusqu'au moment de la naissance du droit à la rente (ATF 134 V 322 consid. 4.). Toutefois, lorsque l’absence d'emploi est due à des motifs étrangers à l'invalidité, le salaire doit être établi sur la base de données statistiques (arrêt du Tribunal fédéral 9C_525/2021 du 31 mai 2022 consid. 6.2.1).</w:t>
      </w:r>
    </w:p>
    <w:p>
      <w:r>
        <w:rPr>
          <w:b/>
        </w:rPr>
        <w:t>E. 7.2</w:t>
      </w:r>
    </w:p>
    <w:p>
      <w:r>
        <w:t>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Le revenu effectivement réalisé par la personne assurée après la survenance de l’atteinte à la santé ne peut cependant être pris en compte comme revenu d’invalide qu’à la condition que l’activité exercée repose sur des rapports de travail particulièrement stables, qu’elle mette pleinement en valeur la capacité de travail résiduelle exigible et encore que le gain obtenu corresponde au travail effectivement fourni et ne contienne pas d’éléments de salaire social (Margit MOSER-SZELESS in Commentaire romand LPGA, 2018, n. 30 ad art. 16 LPGA).</w:t>
      </w:r>
    </w:p>
    <w:p>
      <w:r>
        <w:rPr>
          <w:b/>
        </w:rPr>
        <w:t>E. 7.3</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w:t>
      </w:r>
    </w:p>
    <w:p>
      <w:r>
        <w:t>A/4030/2023 - 11/16 -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(arrêt du Tribunal fédéral 9C_842/2018 du 7 mars 2019 consid. 5.1). Cette méthode de comparaison en pourcent s’applique notamment lorsque le salaire dans le dernier emploi ne peut être pris en compte, car les rapports de travail se sont achevés pour des motifs étrangers à l’invalidité (arrêt du Tribunal fédéral 9C_354/2021 du 3 novembre 2021 consid. 5.1).</w:t>
      </w:r>
    </w:p>
    <w:p>
      <w:r>
        <w:rPr>
          <w:b/>
        </w:rPr>
        <w:t>E. 7.4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Selon le principe de libre appréciation des preuves, pleinement valable en procédure judiciaire de recours dans le domaine des assurances sociales</w:t>
      </w:r>
    </w:p>
    <w:p>
      <w:r>
        <w:t>A/4030/2023 - 12/16 -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w:t>
      </w:r>
    </w:p>
    <w:p>
      <w:r>
        <w:rPr>
          <w:b/>
        </w:rPr>
        <w:t>E. 9</w:t>
      </w:r>
    </w:p>
    <w:p>
      <w:r>
        <w:t>En l’espèce, il convient d’examiner si la décision de l’intimé est conforme aux principes qui précèdent.</w:t>
      </w:r>
    </w:p>
    <w:p>
      <w:r>
        <w:rPr>
          <w:b/>
        </w:rPr>
        <w:t>E. 9.1</w:t>
      </w:r>
    </w:p>
    <w:p>
      <w:r>
        <w:t>L’intimé s’est fondé sur les rapports des médecins traitants pour déterminer la capacité de travail de la recourante dans une activité adaptée, d’abord en fonction des renseignements fournis par le Dr B______, puis du rapport de la Dre D______. Force est de constater qu’il n’existe aucun rapport médical au dossier concluant à une capacité de travail inférieure, de sorte qu’on ne saurait reprocher à l’intimé d’avoir suivi l’avis des médecins traitants de la recourante, qui n’ont pas évoqué la nécessité d’investigations complémentaires. Ceux-ci n’ont de plus pas ignoré les douleurs de la recourante, puisqu’ils les ont relatées dans les rapports adressés à l’intimé. Ils ont également tenu compte des limitations fonctionnelles liées à sa pathologie dans la description des activités adaptées. Le fait que le Dr B______ ait, selon les dires de la recourante, encouragé celle-ci à solliciter un second avis ne suffit pas à conclure à l’inexactitude de celui qu’il a émis. Par ailleurs, la recourante ne soutient pas que d’autres rapports médicaux auraient été ignorés par l’intimé. Son grief quant à l’instruction incomplète de son droit aux prestations tombe ainsi manifestement à faux. Le fait que l’évaluation de sa capacité de travail par les Drs B______ et D______ ne lui paraisse pas conforme à son état de santé ne suffit pas à conclure que sa situation médicale aurait été insuffisamment instruite. C’est le lieu de rappeler que selon la jurisprudence,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(arrêt du Tribunal fédéral 8C_667/2012 du 12 juin 2013 consid. 4.2 et la référence). On peut transposer ce principe mutatis mutandis au présent cas, dans lequel l’intimé s’est rallié à l’évaluation de la capacité de travail par les médecins traitants de la recourante.</w:t>
      </w:r>
    </w:p>
    <w:p>
      <w:r>
        <w:t>A/4030/2023 - 13/16 - Il est vrai que le Dr B______ a par la suite attesté des arrêts de travail de 50% en mai et juin 2024. Cette nouvelle appréciation de la capacité de travail ne suffit toutefois pas à susciter des doutes suffisants sur les précédentes conclusions de ce médecin quant à l’exigibilité d’une activité adaptée à temps complet, en l’absence de toute modification de l’état de santé signalée. Ces arrêts de travail paraissent du reste en contradiction avec les indications du Dr B______ du 6 février 2024, dont il ressort que la recourante souhaitait l’aide de l’intimé pour trouver un emploi adapté en complément à celui de chauffeur pour enfants à mi-temps, ce qui suppose une capacité de travail supérieure à 50%. La recourante a du reste également confirmé dans son écriture adressée à la chambre de céans le 6 février 2024 qu’elle souhaitait « combiner cet emploi » avec un autre poste. De plus, ces certificats sont postérieurs à la décision attaquée. Or, le juge des assurances sociales apprécie la légalité des décisions entreprises, en principe, d'après l'état de fait existant lors de la clôture de la procédure administrative (ATF 148 V 21 consid. 5.3), les faits survenus par la suite et ayant modifié cette situation devant normalement faire l'objet d'une nouvelle décision (arrêt du Tribunal fédéral 9C_384/2023 du 11 janvier 2024 consid. 4.2). Il n’y a ainsi pas lieu d’en tenir compte dans l’appréciation de la capacité de gain telle qu’arrêtée par l’intimé dans sa décision de novembre 2023. Compte tenu de ces éléments, la chambre de céans ne s’écartera pas des incapacités de travail dans une activité adaptée retenues par le SMR, correspondant aux constatations rapportées en temps réel par le Dr B______ et la Dre D______. Elle retiendra ainsi une incapacité de travail complète dans une activité adaptée du 25 février 2021 au 31 août 2022 et du 8 décembre 2022 au 30 juin 2022, et de 20% dès le 1er juillet 2023.</w:t>
      </w:r>
    </w:p>
    <w:p>
      <w:r>
        <w:rPr>
          <w:b/>
        </w:rPr>
        <w:t>E. 9.2</w:t>
      </w:r>
    </w:p>
    <w:p>
      <w:r>
        <w:t>S’agissant du droit à la rente, la décision de l’intimé ne prête pas non plus le flanc à la critique. Le début du droit a en effet été fixé à six mois après la demande de prestations, en conformité avec l’art. 29 LAI. C’est également à juste titre que le droit à la rente a été supprimé le 30 septembre 2023, trois mois après la reprise à 80% attestée par la Dre D______. En effet, aux termes de l’art. 88a al. 1 du règlement sur l’assurance-invalidité du 17 janvier 1961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On peut également confirmer le degré d’invalidité de 20% dès le 1er septembre (recte : octobre) 2023. La référence au revenu statistique tiré d’activités simples et répétitives pour fixer le revenu d’invalide est conforme à la jurisprudence, dès lors</w:t>
      </w:r>
    </w:p>
    <w:p>
      <w:r>
        <w:t>A/4030/2023 - 14/16 - que la recourante n’exerçait plus d’emploi lors de la survenance de l’incapacité de travail. Au vu de la nature de l’activité adaptée et de l’absence de qualifications particulières, le recours à ce même revenu statistique pour déterminer le revenu d’invalide est également indiqué. En particulier, le revenu concrètement réalisé en qualité de conductrice scolaire à 30% puis 50% ne peut être pris en compte en tant que revenu d’invalide, puisque cette activité n’exploite pas complètement la capacité de travail de la recourante. L’intimé n’a procédé à aucun abattement sur le revenu d’invalide. Ce faisant, il est resté dans les limites de son pouvoir d’appréciation, au vu des circonstances, et notamment compte tenu de l’importante capacité résiduelle de travail de la recourante et de ses limitations fonctionnelles, lesquelles ne sont pas particulièrement restrictives. Comme on l’a vu, lorsque, comme en l’espèce, les revenus avec et sans invalidité reposent sur les mêmes bases statistiques, l’invalidité se confond avec l’incapacité de travail. Le degré d’invalidité s’élève ainsi à 20%.</w:t>
      </w:r>
    </w:p>
    <w:p>
      <w:r>
        <w:rPr>
          <w:b/>
        </w:rPr>
        <w:t>E. 9.3</w:t>
      </w:r>
    </w:p>
    <w:p>
      <w:r>
        <w:t>Quant au droit à des mesures de réadaptation, on soulignera en premier lieu que celles-ci ne paraissent pas indispensables au vu de la nature des emplois pris en considération pour déterminer le revenu d’invalide, accessibles sans formation spécifique (cf. arrêt du Tribunal fédéral 8C_131/2018 du 25 juillet 2018 consid. 5.2). La recourante n’exerçait par ailleurs pas une activité qualifiée avant la survenance de l’invalidité. Pour ces motifs, l’octroi d’un reclassement avec une formation complète n’est pas nécessaire pour maintenir sa capacité de gain. De plus, on doit souligner que la recourante a bénéficié dans le cadre de la détection précoce de plusieurs mesures mises en place par l’intimé, dont un coaching qui lui a notamment permis, selon le rapport de la coach, du 8 mars 2023, d’établir un curriculum vitae, une lettre de motivation standard, de cibler les bonnes entreprises dans ses recherches d’emploi. Elle a ainsi déjà disposé d’un soutien pour rechercher un emploi adapté, et il n’est pas inutile de relever qu’elle a démontré des ressources pour sa réinsertion, puisqu’elle indiquait dans son écriture du 6 février 2024 qu’elle avait elle-même entrepris les démarches pour décrocher le stage d’accompagnement d’enfants autistes en février et mars 2023, lequel a débouché sur l’emploi qu’elle occupe actuellement. Dans ces conditions, c’est à bon droit que l’intimé a nié le droit à l’octroi de mesures de réadaptation.</w:t>
      </w:r>
    </w:p>
    <w:p>
      <w:r>
        <w:rPr>
          <w:b/>
        </w:rPr>
        <w:t>E. 9.4</w:t>
      </w:r>
    </w:p>
    <w:p>
      <w:r>
        <w:t>Au vu de ce qui précède, la décision de l’intimé doit être confirmée. Par appréciation anticipée des preuves (ATF 130 II 425 consid. 2.1), la chambre de céans ne procédera pas à l’audition de la recourante et de ses médecins, dans la mesure où la recourante s’est amplement déterminée dans ses écritures et les appréciations des médecins ressortent des pièces médicales versées à la procédure.</w:t>
      </w:r>
    </w:p>
    <w:p>
      <w:r>
        <w:rPr>
          <w:b/>
        </w:rPr>
        <w:t>E. 10</w:t>
      </w:r>
    </w:p>
    <w:p>
      <w:r>
        <w:t>A/4030/2023 - 15/16 -</w:t>
      </w:r>
    </w:p>
    <w:p>
      <w:r>
        <w:rPr>
          <w:b/>
        </w:rPr>
        <w:t>E. 10.1</w:t>
      </w:r>
    </w:p>
    <w:p>
      <w:r>
        <w:t>Mal fondé, le recours sera rejeté.</w:t>
      </w:r>
    </w:p>
    <w:p>
      <w:r>
        <w:rPr>
          <w:b/>
        </w:rPr>
        <w:t>E. 10.2</w:t>
      </w:r>
    </w:p>
    <w:p>
      <w:r>
        <w:t>La recourante plaidant au bénéfice de l’assistance juridique, la chambre de céans renoncera à la perception d’un émolument (art. 69 al. 1bis LAI et 13 al. 1 du règlement sur les frais, émoluments et indemnités en procédure administrative du 30 juillet 1986 [RFPA - E 5 10.03]).</w:t>
      </w:r>
    </w:p>
    <w:p>
      <w:r>
        <w:t>A/4030/2023 - 16/16 -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