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ATAS/653/2023 vom 30. August 2023</w:t>
      </w:r>
    </w:p>
    <w:p>
      <w:r>
        <w:t>GE Cour de justice, 2023-08-30, FR</w:t>
      </w:r>
    </w:p>
    <w:p>
      <w:r>
        <w:rPr>
          <w:b/>
        </w:rPr>
        <w:t xml:space="preserve">Quelle: </w:t>
      </w:r>
      <w:r>
        <w:t>https://mcp.opencaselaw.ch/entscheid/ge_gerichte_ATAS_653_2023</w:t>
      </w:r>
    </w:p>
    <w:p>
      <w:r>
        <w:t>FR: GE_GERICHTE ATAS/653/2023 du 30 août 2023</w:t>
      </w:r>
    </w:p>
    <w:p>
      <w:r>
        <w:t>IT: GE_GERICHTE ATAS/653/2023 del 30 agosto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t>A/2090/2022 - 4/6 - Selon les dispositions transitoires de la modification de la LAI du 19 juin 2020, pour les bénéficiaires de rente dont le droit à la rente est né avant l’entrée en vigueur de la présente modification et qui avaient au moins 55 ans à l’entrée en vigueur de cette modification, l’ancien droit reste applicable (let. c). En l’occurrence, le recourant était âgé de plus de 55 ans au 1er janvier 2022 et son droit à la rente pourrait être né avant cette date, de sorte que les dispositions légales applicables seront citées dans leur ancienne teneur.</w:t>
      </w:r>
    </w:p>
    <w:p>
      <w:r>
        <w:rPr>
          <w:b/>
        </w:rPr>
        <w:t>E. 4</w:t>
      </w:r>
    </w:p>
    <w:p>
      <w:r>
        <w:t>Le litige porte sur le droit du recourant aux prestations de l’intimé, plus particulièrement sur la question de savoir si son incapacité de travail ou son invalidité se sont aggravées depuis la dernière décision entrée en force de l’intimé.</w:t>
      </w:r>
    </w:p>
    <w:p>
      <w:r>
        <w:rPr>
          <w:b/>
        </w:rPr>
        <w:t>E. 5.1</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ATF 130 V 343 consid. 3.5.2 et les références; ATF 130 V 71 consid. 3.2 et les références; cf. arrêt du Tribunal fédéral 9C_899/2015 du 4 mars 2016 consid. 4.1 et les références). L’art. 17 al. 1 LPGA dispose que si le taux d’invalidité du bénéficiaire de la rente subit une modification notable, la rente est, d’office ou sur demande, révisée pour l’avenir, à savoir augmentée ou réduite en conséquence, ou encore supprimée.</w:t>
      </w:r>
    </w:p>
    <w:p>
      <w:r>
        <w:rPr>
          <w:b/>
        </w:rPr>
        <w:t>E. 5.2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5.3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w:t>
      </w:r>
    </w:p>
    <w:p>
      <w:r>
        <w:t>A/2090/2022 - 5/6 - une instruction complémentaire sous la forme d'une nouvelle expertise médicale (ATF 143 V 269 consid. 6.2.3.2 et les références ; ATF 135 V 465 consid. 4.4. et les références ; ATF 125 V 351 consid. 3b/aa et les références).</w:t>
      </w:r>
    </w:p>
    <w:p>
      <w:r>
        <w:rPr>
          <w:b/>
        </w:rPr>
        <w:t>E. 6</w:t>
      </w:r>
    </w:p>
    <w:p>
      <w:r>
        <w:t>En l’occurrence, l’expertise judiciaire répond aux réquisits pour se voir reconnaître une pleine valeur probante. Les parties n’ont émis aucune critique à son égard. Sur la base de celle-ci, la décision querellée doit être confirmée, dans la mesure où elle se fondait sur une capacité de travail résiduelle de 80%, ce qui correspond aux conclusions de l’expert judiciaire.</w:t>
      </w:r>
    </w:p>
    <w:p>
      <w:r>
        <w:rPr>
          <w:b/>
        </w:rPr>
        <w:t>E. 7</w:t>
      </w:r>
    </w:p>
    <w:p>
      <w:r>
        <w:t>En conséquence, le recours doit être rejeté. Un émolument de CHF 200.- sera mis à la charge du recourant (art. 69 al. 1bis LAI).</w:t>
      </w:r>
    </w:p>
    <w:p>
      <w:r>
        <w:t>A/2090/2022 - 6/6 -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