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ATAS/653/2022 vom 12. Juli 2022</w:t>
      </w:r>
    </w:p>
    <w:p>
      <w:r>
        <w:t>GE Cour de justice, 2022-07-12, FR</w:t>
      </w:r>
    </w:p>
    <w:p>
      <w:r>
        <w:rPr>
          <w:b/>
        </w:rPr>
        <w:t xml:space="preserve">Quelle: </w:t>
      </w:r>
      <w:r>
        <w:t>https://mcp.opencaselaw.ch/entscheid/ge_gerichte_ATAS_653_2022</w:t>
      </w:r>
    </w:p>
    <w:p>
      <w:r>
        <w:t>FR: GE_GERICHTE ATAS/653/2022 du 12 juillet 2022</w:t>
      </w:r>
    </w:p>
    <w:p>
      <w:r>
        <w:t>IT: GE_GERICHTE ATAS/653/2022 del 12 luglio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10 juin 2021) a été rendue antérieurement au 1er janvier 2022, de sorte que les dispositions légales applicables seront citées dans leur ancienne teneur.</w:t>
      </w:r>
    </w:p>
    <w:p>
      <w:r>
        <w:rPr>
          <w:b/>
        </w:rPr>
        <w:t>E. 5</w:t>
      </w:r>
    </w:p>
    <w:p>
      <w:r>
        <w:t>Le délai de recours est de trente jours (art. 56 et 60 LPGA; art. 62 al. 1 let. a de la loi sur la procédure administrative du 12 septembre 1985 [LPA - E 5 10]).</w:t>
      </w:r>
    </w:p>
    <w:p>
      <w:r>
        <w:t>A/2414/2021 - 4/13 -</w:t>
      </w:r>
    </w:p>
    <w:p>
      <w:r>
        <w:rPr>
          <w:b/>
        </w:rPr>
        <w:t>E. 5.1</w:t>
      </w:r>
    </w:p>
    <w:p>
      <w:r>
        <w:t>Le recours adressé à une autorité incompétente est transmis d'office à la juridiction administrative compétente et le recourant en est averti. L'acte est réputé déposé à la date à laquelle il a été adressé à la première autorité (art. 64 al. 2 LPA).</w:t>
      </w:r>
    </w:p>
    <w:p>
      <w:r>
        <w:rPr>
          <w:b/>
        </w:rPr>
        <w:t>E. 5.2</w:t>
      </w:r>
    </w:p>
    <w:p>
      <w:r>
        <w:t>Dans son courrier du 8 juillet 2021, le recourant a indiqué formé un recours « gracieux » contre la décision du 10 juin 2021, sans formuler de conclusions expresses. On comprend toutefois qu'il la conteste et qu'il en demande l'annulation. Cet acte de recours, rédigé par un justiciable non représenté par un avocat, satisfait aux exigences, peu élevées, de forme et de contenu prescrites par la loi (art. 61 let. b LPGA; ATAS/689/2017 du 21 août 2017 consid. 4b). Par ailleurs, ce recours, bien qu'adressé à l'intimé qui l'a transmis à la chambre de céans comme objet de sa compétence le 20 juillet 2021 conformément aux principes légaux applicables, a néanmoins été formé en temps utile. Il sera par conséquent déclaré recevable.</w:t>
      </w:r>
    </w:p>
    <w:p>
      <w:r>
        <w:rPr>
          <w:b/>
        </w:rPr>
        <w:t>E. 6</w:t>
      </w:r>
    </w:p>
    <w:p>
      <w:r>
        <w:t>Le litige porte sur le droit du recourant à une rente d'invalidité et à une mesure d'ordre professionnel.</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8.1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rPr>
          <w:b/>
        </w:rPr>
        <w:t>E. 8.2</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w:t>
      </w:r>
    </w:p>
    <w:p>
      <w:r>
        <w:t>A/2414/2021 - 5/13 - une incapacité de travail ayant des effets sur la capacité de gain de l’assuré (arrêt du Tribunal fédéral des assurances I.654/00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10.2.1</w:t>
      </w:r>
    </w:p>
    <w:p>
      <w:r>
        <w:t>Une appréciation médicale, respectivement une expertise médicale établie sur la base d'un dossier n’est pas en soi sans valeur probante. Une expertise médicale établie sur la base d'un dossier peut avoir valeur probante pour autant</w:t>
      </w:r>
    </w:p>
    <w:p>
      <w:r>
        <w:t>A/2414/2021 - 6/13 -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A/2414/2021 - 7/13 -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dans son avis du 10 août 2021, le SMR, en s'appuyant sur les rapports médicaux au dossier, reconnaît que le recourant n'est plus apte, en raison de son atteinte au rachis lombaire, à exercer son activité habituelle de garçon d'office dès le 8 janvier 2018, date à compter de laquelle celui-ci a été en arrêt de travail selon l'attestation de l'employeur du 1er octobre 2018. En revanche, dans une activité adaptée, il présente une capacité de travail entière depuis le 8 janvier 2018, hormis du 18 novembre 2019 ‒ date à laquelle le docteur C______, spécialiste FMH en chirurgie orthopédique et traumatologie de l'appareil locomoteur, a constaté que le handicap fonctionnel était important et qu'une prise en charge chirurgicale était nécessaire (rapport du 19 novembre 2019, dossier AI p. 24) ‒ au 5 novembre 2020, six mois après la dernière opération réalisée le 5 mai 2020, les contrôles post-opératoires n'ayant pas mis évidence de récidive d'hernie discale ou d'instabilité vertébrale.</w:t>
      </w:r>
    </w:p>
    <w:p>
      <w:r>
        <w:rPr>
          <w:b/>
        </w:rPr>
        <w:t>E. 12.1</w:t>
      </w:r>
    </w:p>
    <w:p>
      <w:r>
        <w:t>Les médecins ayant examiné le recourant sont tous d'avis que ce dernier peut, malgré son affection lombaire, travailler dans une activité adaptée (rapport du 6 mai 2019 du docteur D______, spécialiste FMH en médecine interne générale [dossier AI p. 98]; rapport du 24 novembre 2020 du docteur E______, spécialiste FMH en neurochirurgie [dossier AI p. 45]; rapport du 16 février 2021 du Dr B______ [dossier AI p. 91]; rapport du 10 mars 2021 du docteur F______, spécialiste FMH en médecine interne générale [dossier AI p. 119]). Selon le Dr F______, la capacité de travail dans une activité adaptée est entière. En revanche, d'après le Dr B______ (qui est pour rappel spécialiste en médecine physique et réadaptation, soit un spécialiste de la discipline médicale pertinente pour juger du cas d’espèce), elle est de 100% avec une diminution de rendement de l'ordre de 20 à 40% depuis mai 2020 (rapport du 10 juin 2022) en raison de la persistance très probable des douleurs lombaires nécessitant des périodes d'arrêt et l'alternance des positions (rapports des 16 février 2021 et 10 juin 2022). Lorsque les médecins indiquent une fourchette à l’intérieur de laquelle se situe la capacité de travail résiduelle, on se réfère généralement à la valeur médiane (voir arrêt du Tribunal fédéral des assurances I.822/04 du 21 avril 2005 consid. 4.4 et les références citées). Aussi y a-t-il lieu de chiffrer la capacité de travail du recourant dans une activité adaptée à 100% avec une diminution de rendement de 30%. Par contre, dans son avis du 23 juin 2022, le SMR, qui s'est déterminé sur le rapport du 10 juin 2022 du Dr B______, admet tout au plus une baisse de rendement de 20%, en expliquant que le recourant n'a pas de déficit</w:t>
      </w:r>
    </w:p>
    <w:p>
      <w:r>
        <w:t>A/2414/2021 - 8/13 - sensitivomoteur ni eu d'arthrodèse ou fixation lombaire qui entraîneraient davantage de problèmes de mobilité lombaire. La question de savoir quelle opinion (celle du Dr B______ ou celle du SMR) l'emporte peut demeurer ouverte, car, comme on le verra plus loin, même en retenant une baisse de rendement de 30%, cela n'a aucune incidence sur l'issue du litige.</w:t>
      </w:r>
    </w:p>
    <w:p>
      <w:r>
        <w:rPr>
          <w:b/>
        </w:rPr>
        <w:t>E. 12.2</w:t>
      </w:r>
    </w:p>
    <w:p>
      <w:r>
        <w:t>Les pièces produites à l'appui du recours ne permettent pas une appréciation différente du cas. En effet, il n'est pas contesté par l'intimé que le recourant est totalement inapte à travailler dans une activité lucrative entre le 16 février et le 5 mai 2020, ainsi que l'attestent les Drs B______ et E______ dans leur rapport respectif des 6 et 9 juillet 2021. Quant aux certificats d'arrêt de travail des 13 décembre 2019, 4 février 2020 et 6 juillet 2021, c'est le lieu de rappeler qu'un certificat d'incapacité de travail atteste que la personne assurée n'est pas en mesure de reprendre son activité habituelle, ou seulement de manière partielle. Il ne fournit en revanche aucune indication quant à la capacité résiduelle de travail de la personne assurée dans l'activité qui peut être raisonnablement exigée d'elle sur un marché du travail équilibré (cf. art. 16 LPGA), qui est seule décisive pour l'examen du droit à une rente d'invalidité (arrêt du Tribunal fédéral 9C_394/2010 consid. 3.4 et les références).</w:t>
      </w:r>
    </w:p>
    <w:p>
      <w:r>
        <w:rPr>
          <w:b/>
        </w:rPr>
        <w:t>E. 12.3</w:t>
      </w:r>
    </w:p>
    <w:p>
      <w:r>
        <w:t>Ainsi, la chambre de céans retiendra que le recourant est apte à travailler dans une activité adaptée à 100% avec une baisse de rendement de 30%, depuis le 5 novembre 2020.</w:t>
      </w:r>
    </w:p>
    <w:p>
      <w:r>
        <w:rPr>
          <w:b/>
        </w:rPr>
        <w:t>E. 13</w:t>
      </w:r>
    </w:p>
    <w:p>
      <w:r>
        <w:t>Reste à se prononcer sur le degré d'invalidité du recourant.</w:t>
      </w:r>
    </w:p>
    <w:p>
      <w:r>
        <w:rPr>
          <w:b/>
        </w:rPr>
        <w:t>E. 13.1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A/2414/2021 - 9/13 - décision est rendue doivent être prises en compte (ATF 129 V 222 et ATF 128 V 174).</w:t>
      </w:r>
    </w:p>
    <w:p>
      <w:r>
        <w:rPr>
          <w:b/>
        </w:rPr>
        <w:t>E. 13.2</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l’Enquête suisse sur la structure des salaires (ESS) éditée par l'Office fédéral de la statistique (OFS; arrêts du Tribunal fédéral des assurances I.201/06 du 14 juillet 2006 consid. 5.2.3 et I.774/01 du 4 septembre 2002 consid. 3b).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w:t>
      </w:r>
    </w:p>
    <w:p>
      <w:r>
        <w:rPr>
          <w:b/>
        </w:rPr>
        <w:t>E. 13.3</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arrêt du Tribunal fédéral 8C_58/2021 du 30 juin 2021 consid. 4.1.1). La valeur statistique - médiane - s'applique alors, en principe, à tous les assurés qui ne peuvent plus accomplir leur ancienne activité parce</w:t>
      </w:r>
    </w:p>
    <w:p>
      <w:r>
        <w:t>A/2414/2021 - 10/13 -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arrêt du Tribunal fédéral 8C_655/2016 du 4 août 2017 consid. 6.3). À cet égard, l’ESS 2018 a été publiée le 21 avril 2020; l’ESS 2016, le 26 octobre 2018 (étant précisé que le tableau T1_tirage_skill_level a été corrigé le 8 novembre 2018);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147 V 178 consid. 1.3; ATF 135 V 297 consid. 5.2; ATF 126 V 75 consid. 5b/aa-cc). L'étendue de l'abattement justifié dans un cas concret relève du pouvoir d'appréciation (ATF 132 V 393 consid. 3.3).</w:t>
      </w:r>
    </w:p>
    <w:p>
      <w:r>
        <w:rPr>
          <w:b/>
        </w:rPr>
        <w:t>E. 14</w:t>
      </w:r>
    </w:p>
    <w:p>
      <w:r>
        <w:t>En l'occurrence, comme on l'a relevé plus haut, le changement important de la capacité de travail ayant une incidence sur la capacité de gain remonte à novembre 2020. Il convient donc de se placer en 2020 pour procéder à la comparaison des revenus (arrêt du Tribunal fédéral I.95/07 du 15 février 2008 consid. 5).</w:t>
      </w:r>
    </w:p>
    <w:p>
      <w:r>
        <w:rPr>
          <w:b/>
        </w:rPr>
        <w:t>E. 14.1</w:t>
      </w:r>
    </w:p>
    <w:p>
      <w:r>
        <w:t>Pour déterminer le revenu sans invalidité, l'intimé s'est référé aux données statistiques, au motif que le recourant était au chômage au moment de l'atteinte à la santé. Or, il ressort du dossier que le recourant était en arrêt de travail depuis le 8 janvier 2018 et que son employeur l'a licencié le 25 mai 2018 (avec effet au 30 septembre 2018) à une époque où il présentait précisément une incapacité de travail (attestation de l'employeur du 1er octobre 2018). Dès lors que la résiliation du contrat de travail n'est pas imputable à des facteurs étrangers à l'invalidité (tel une restructuration), mais est liée aux problèmes médicaux, il y a lieu d'admettre que le recourant, sans atteinte à la santé, aurait vraisemblablement poursuivi son activité auprès du même employeur et aurait pu prétendre au salaire qu'il y aurait réalisé. Dans ces circonstances, est déterminant pour la fixation du revenu hypothétique de la personne valide le salaire que la personne assurée réaliserait actuellement auprès de son ancien employeur (arrêt du Tribunal fédéral 9C_725/2015 du 5 avril 2016 consid. 4.1 et les références). Comme le dernier</w:t>
      </w:r>
    </w:p>
    <w:p>
      <w:r>
        <w:t>A/2414/2021 - 11/13 - salaire que le recourant a obtenu avant l'atteinte à la santé s'élevait à CHF 47'469.95 (certificat de salaire 2017 du 29 janvier 2018), le salaire sans invalidité, réactualisé à 2020 selon l’indice suisse des salaires nominaux pour les hommes publié par l'OFS (ISS; en 2017: 2249 et en 2020: 2298), se monte à CHF 48'504.20 (47'469.95 × 2298 / 2249).</w:t>
      </w:r>
    </w:p>
    <w:p>
      <w:r>
        <w:rPr>
          <w:b/>
        </w:rPr>
        <w:t>E. 14.2</w:t>
      </w:r>
    </w:p>
    <w:p>
      <w:r>
        <w:t>S'agissant du revenu avec invalidité en 2020, dès lors que le recourant n'a pas repris d'activité professionnelle, le revenu d'invalide peut être évalué sur la base des statistiques salariales figurant dans l'ESS 2018 ‒ soit celle qui était publiée le 21 avril 2020 au moment déterminant de la décision attaquée du 10 juin 2021 (arrêt du Tribunal fédéral 8C_655/2016 du 4 août 2017 consid. 6.3).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D’après l’ESS 2018, ce revenu s’élève à CHF 5’417.- par mois (tableau TA1_tirage_skill_level, niveau 1, total, homme, part au 13ème salaire comprise) ou à CHF 65'004.- par année (5’417 × 12). Ce salaire hypothétique se base toutefois sur une durée hebdomadaire de travail de quarante heures, inférieure à la moyenne usuelle dans les entreprises. Il convient dès lors de l’ajuster à la durée hebdomadaire normale de travail en 2020, lequel est de 41,7 heures (tableau « Durée normale du travail dans les entreprises selon la division économique » de l'OFS), ce qui porte le salaire annuel à CHF 67'766.67 pour un plein temps (65'004 × 41,7/ 40). Réactualisé à 2020 selon l’indice suisse des salaires nominaux pour les hommes (ISS ; en 2018 : 2260 et en 2020 : 2298), le revenu avec invalidité est de CHF 48'234.27 au vu de la baisse de rendement de 30% ([67'766.67 × 2298 / 2260] = 68'906.10 - 20'671.83 = 48'234.27; 68'906.10 × 30 / 100 = 20'671.83).</w:t>
      </w:r>
    </w:p>
    <w:p>
      <w:r>
        <w:rPr>
          <w:b/>
        </w:rPr>
        <w:t>E. 14.3</w:t>
      </w:r>
    </w:p>
    <w:p>
      <w:r>
        <w:t>Même en opérant une réduction maximale de 25% à ce salaire, le revenu d'invalide, qui s'élèverait alors à CHF 36'175.71 (48'234.27 - 12'058.56 [48'234.27 × 25 / 100 = 12'058.56]), comparé avec le revenu sans invalidité de CHF 48'504.20, donnerait un degré d'invalidité de 25,42% ([48'504.20 - 36'175.71] / 48'504.20 × 100), arrondi à 25% (ATF 130 V 121 consid. 3.2), qui reste inférieur au taux de 40% (art. 28 al. 2 LAI). Le recourant ne peut donc pas prétendre à une rente d'invalidité.</w:t>
      </w:r>
    </w:p>
    <w:p>
      <w:r>
        <w:rPr>
          <w:b/>
        </w:rPr>
        <w:t>E. 14.4</w:t>
      </w:r>
    </w:p>
    <w:p>
      <w:r>
        <w:t>À toutes fins utiles, même dans l'hypothèse où le revenu sans invalidité est fixé, comme l'a fait l'intimé, selon les données statistiques, cela ne change rien à la solution du litige. En effet, dans ce cas, le salaire de référence auquel peut prétendre le recourant dans le secteur de l'hébergement et la restauration (ligne 55-56 de l'ESS 2018, niveau 1) se chiffre à CHF 4'121.- par mois ou à CHF 49'452.- annuellement</w:t>
      </w:r>
    </w:p>
    <w:p>
      <w:r>
        <w:t>A/2414/2021 - 12/13 - (4'121 × 12). Comme les salaires bruts standardisés tiennent compte d'un horaire de travail de quarante heures, soit une durée hebdomadaire inférieure à la moyenne usuelle dans la branche concernée (42,4 heures d'après le tableau « Durée normale du travail dans les entreprises selon la division économique » de l'OFS), il en résulte un revenu sans invalidité de CHF 52'419.12 (49'452 × 42,4 / 40). Après adaptation de ce montant à l'évolution des salaires nominaux pour les hommes en 2020 (ISS; en 2018: 2260 et en 2020: 2298), le revenu de valide ascende à CHF 53'300.50 (52'419.12 × 2298 / 2260), lequel, comparé avec le revenu d'invalide de CHF 36'175.71, aboutit à un degré d'invalidité de 32,12% ([53'300.50 - 36'175.71] / 53'300.50 × 100), arrondi à 32% (ATF 130 V 121 consid. 3.2), taux toujours inférieur au seuil de 40% (art. 28 al. 2 LAI), ne conférant ainsi aucun droit à une rente.</w:t>
      </w:r>
    </w:p>
    <w:p>
      <w:r>
        <w:rPr>
          <w:b/>
        </w:rPr>
        <w:t>E. 14.5</w:t>
      </w:r>
    </w:p>
    <w:p>
      <w:r>
        <w:t>Il sied encore de relever que le recourant ne peut se voir allouer une rente entière d'invalidité pour la période durant laquelle il présentait une totale incapacité de travail dans toute activité (à tout le moins du 18 novembre 2019 au 5 novembre 2020 selon l'avis du SMR du 10 août 2021) eu égard au dépôt tardif de sa demande de prestations le 2 février 2021 (art. 29 al. 1 LAI; consid. 9 ci- dessus), date à laquelle, comme on vient de le voir, son taux d'invalidité ne lui donne droit à aucune rente d'invalidité.</w:t>
      </w:r>
    </w:p>
    <w:p>
      <w:r>
        <w:rPr>
          <w:b/>
        </w:rPr>
        <w:t>E. 15</w:t>
      </w:r>
    </w:p>
    <w:p>
      <w:r>
        <w:t>Enfin, le recourant ne peut pas prétendre à l'octroi d'une mesure d'orientation professionnelle financée par l'assurance-invalidité (art. 15 LAI) ou d'un reclassement (art. 17 LAI), lorsque, comme en l'espèce, le marché du travail offre un éventail suffisamment large d'activités légères, dont un nombre significatif sont, à l'évidence, adaptées aux limitations du recourant et accessibles sans aucune formation particulière (arrêts du Tribunal fédéral 9C_534/2010 du 10 février 2011 consid. 4.3; 9C_467/2012 du 25 février 2013 consid. 5.2).</w:t>
      </w:r>
    </w:p>
    <w:p>
      <w:r>
        <w:rPr>
          <w:b/>
        </w:rPr>
        <w:t>E. 16</w:t>
      </w:r>
    </w:p>
    <w:p>
      <w:r>
        <w:t>Au vu de ce qui précède, le recours sera rejeté. Le recourant, qui succombe, n'a pas droit à des dépens (art. 61 let. g LPGA a contrario). Au vu du sort du recours, il y a lieu de condamner celui-ci au paiement d'un émolument, arrêté en l'espèce à CHF 200.- (art. 69 al.1bis LAI).</w:t>
      </w:r>
    </w:p>
    <w:p>
      <w:r>
        <w:t>A/2414/2021 - 13/13 -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