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ATAS/653/2011 vom 27. Juni 2011</w:t>
      </w:r>
    </w:p>
    <w:p>
      <w:r>
        <w:t>GE Cour de justice, 2011-06-27, FR</w:t>
      </w:r>
    </w:p>
    <w:p>
      <w:r>
        <w:rPr>
          <w:b/>
        </w:rPr>
        <w:t xml:space="preserve">Quelle: </w:t>
      </w:r>
      <w:r>
        <w:t>https://mcp.opencaselaw.ch/entscheid/ge_gerichte_ATAS_653_2011</w:t>
      </w:r>
    </w:p>
    <w:p>
      <w:r>
        <w:t>FR: GE_GERICHTE ATAS/653/2011 du 27 juin 2011</w:t>
      </w:r>
    </w:p>
    <w:p>
      <w:r>
        <w:t>IT: GE_GERICHTE ATAS/653/2011 del 27 giugno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Les dispositions de la LPGA s’appliquent à l’assurance-accidents à moins que la LAA n’y déroge expressément (art. 1 al.1 LAA). Interjeté dans la forme et le délai prescrits, le recours est recevable (art. 56 ss LPGA).</w:t>
      </w:r>
    </w:p>
    <w:p>
      <w:r>
        <w:rPr>
          <w:b/>
        </w:rPr>
        <w:t>E. 2</w:t>
      </w:r>
    </w:p>
    <w:p>
      <w:r>
        <w:t>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En l'espèce, les médecins de l'intimée ainsi que le médecin traitant du recourant, le Dr N__________, ont retenu que l'état de santé de celui-ci était stabilisé au moment où l'assurance a rendu sa décision. Par ailleurs, l'assurance-invalidité avait rendu une décision de refus de prestations en 2008 déjà. Contrairement à ce que soutient l'assuré, la décision litigieuse n'a ainsi pas été rendue prématurément.</w:t>
      </w:r>
    </w:p>
    <w:p>
      <w:r>
        <w:rPr>
          <w:b/>
        </w:rPr>
        <w:t>E. 3</w:t>
      </w:r>
    </w:p>
    <w:p>
      <w:r>
        <w:t>a) Selon l'art. 18 al. 1 LAA, si l'assuré est invalide (art. 8 LPGA) à 10%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w:t>
      </w:r>
    </w:p>
    <w:p>
      <w:r>
        <w:t>A/3499/2010 - 7/12 -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cf. ATF 130 III 324 consid. 3.2 et 3.3). Aussi, il n'existe pas, en droit des assurances sociales, un principe selon lequel l'administration ou le juge devrait statuer, dans le doute, en faveur de l'assuré (ATF 126 V 322 consid. 5a).</w:t>
      </w:r>
    </w:p>
    <w:p>
      <w:r>
        <w:t>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b) En l'espèce, l'intimée a conclu à une capacité de travail entière dans une activité adaptée aux limitations fonctionnelles de l'assuré. Pour conclure de la sorte, l’intimée s’est basée sur le rapport du Dr Q__________. Ce dernier a personnellement ausculté l'assuré et étudié l'ensemble du dossier médical. Il a retenu un syndrome douloureux cubito-carpien avec limitation fonctionnelle du poignet gauche et perte de force de la main gauche. Ces atteintes rendaient impossibles le port de charges moyenne à lourdes avec la main gauche, les mouvements répétitifs de celle-ci ainsi que les activités en rotation du poignet et celles nécessitant l'utilisation de la force de serrage et de préhension. Le diagnostic du Dr Q__________ est partagé par le Dr S__________ de la Clinique romande de réadaptation. Le Dr O__________ considère également que l'atteinte à la santé du recourant ne l'empêche pas d'exercer une activité adaptée à temps complet. Aucun élément médical ne va à l'encontre tant du diagnostic que des limitations fonctionnelles décrits par le Dr Q__________. Enfin, aucune circonstance particulière ne permet de douter de l’indépendance du Dr Q__________. Le rapport de ce dernier doit donc se voir reconnaitre pleine valeur probante au sens de la jurisprudence.</w:t>
      </w:r>
    </w:p>
    <w:p>
      <w:r>
        <w:t>A/3499/2010 - 8/12 -</w:t>
      </w:r>
    </w:p>
    <w:p>
      <w:r>
        <w:t>Partant, la Cour retient qu'une pleine capacité de travail, dans une activité adaptée aux limitations fonctionnelles du recourant, est exigible. Reste à se prononcer sur le calcul du degré d'invalidité effectué par l'intimée.</w:t>
      </w:r>
    </w:p>
    <w:p>
      <w:r>
        <w:rPr>
          <w:b/>
        </w:rPr>
        <w:t>E. 4</w:t>
      </w:r>
    </w:p>
    <w:p>
      <w:r>
        <w:t>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ce faire,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Le revenu de l'activité raisonnablement exigible, ou revenu d'invalide, doit pour sa part être déterminé en se référant aux conditions d'un marché du travail équilibré et structuré offrant un éventail d'emplois diversifiés. Lorsqu’un assuré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p. 475; 126 V 75 consid. 3b/aa p. 76). Lorsque ces conditions ne sont pas réalisées ou lorsque l'assuré ne reprend pas d'activité lucrative, la comparaison peut se faire au moyen de tabelles statistiques (ATF 126 V 76 consid. 3a/bb et les références) ou de données salariales résultant de descriptions de postes de travail (DPT) (ATF 129 V 472). Lorsque le revenu d'invalide doit être calculé sur une base théorique et abstraite en l'absence d'un revenu effectivement réalisé, celui-ci ne saurait se fonder sur une seule activité déterminée ou sur un tout petit nombre seulement - quand bien même cette activité serait parfaitement adaptée aux limitations en cause - dès lors que rien ne permet de penser que ce revenu serait représentatif de celui que l'assuré pourrait obtenir sur le marché du travail équilibré entrant en considération pour lui (cf. ATF 129 V 472 consid. 4.2.2 p. 480). Pour que le revenu d'invalide corresponde aussi exactement que possible à celui que l'assuré pourrait réaliser en exerçant l'activité que l'on peut raisonnablement attendre de lui (cf. ATF 128 V 29 consid. 1 p. 30), l'évaluation dudit revenu doit nécessairement reposer sur un choix large et représentatif d'activités adaptées au handicap de la personne assurée. C'est pourquoi la jurisprudence impose, en cas de recours aux DPT, la production d'au moins cinq</w:t>
      </w:r>
    </w:p>
    <w:p>
      <w:r>
        <w:t>A/3499/2010 - 9/12 - d'entre eux (ATF 129 V précité).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précité). b) En l’espèce, l'intimée a retenu que ce dernier aurait réalisé, sans l'accident, un salaire annuel de 68'900 fr. en 2010. Ce chiffre se fonde sur les indications fournies par l'ancien employeur de l'assuré, de sorte qu'il n'y a pas lieu de s'en écarter. Quant au revenu d’invalide, le recourant n’ayant pas repris l’exercice d’une activité lucrative avant le prononcé de la décision querellée, il convient de se référer au revenu théorique et abstrait qui ressort des données salariales résultant des DPT. Les cinq activités proposées (employé de dépôt, de garage, activité d'emballage, gardien/caissier dans un parking, agent d'accueil) paraissent toutes compatibles avec les limitations fonctionnelles du recourant. En effet, l'activité d'employé de dépôt ne nécessite pas le port de charges lourdes ni l'usage des deux mains. Celle d'employé de garage, impliquant en particulier l'encaissement des pleins de carburant, la tenue de la caisse, le dépôt de la recette à la banque, la location de voitures, le contrôle visuel lors de la remise/réception de celles-ci et l'enregistrement des coordonnées des clients, est également compatible avec les atteintes dont souffre le recourant. Le port de charges moyennes à lourdes est exclu et l'usage des deux mains n'est que partiellement nécessaire. S'agissant de l'activité d'emballage (praticien en logistique), elle ne nécessite que partiellement l'usage des deux mains et n'implique que rarement le port de charges moyenne et jamais celui de charges lourdes. L'employé doit choisir un carton correspondant à la taille de l'appareil et le ranger avec les accessoires, en veillant à sa bonne protection. N'exigeant, par ailleurs, aucune formation, elle est parfaitement adaptée au profil et aux limitations fonctionnelles du recourant. Le poste de gardien, caissier dans un parking remplit les mêmes conditions, nécessitant que partiellement l'usage des deux mains, pour la surveillance des locaux (faire des rondes), changer la monnaie, encaisser les abonnements, renseigner et conseiller les clients et procéder au balayage et jet dans le hall, nettoyer les hublots et vitres du secrétariat. Enfin, l'activité d'agent d'accueil dans un cinéma n'implique aucun port de charges, même légères, et l'utilisation partielle des deux mains, puisque le poste est décrit comme le contrôle de la clientèle et des tickets, le fait de vider les poubelles et nettoyer les sièges si nécessaire après chaque séance, sans inclure les nettoyages lourds. En résumé, les cinq exemples retenus par l'intimée sont adaptés aux limitations fonctionnelles et à l'absence de formation. Ils peuvent donc servir de base pour fixer le revenu d'invalide que celui-ci pourrait réaliser. Il convient de relever qu'aucun de ces exemples ne correspond aux travaux effectués par le recourant lors du stage organisé par les Etablissements publics pour l'intégration (EPI), qui ont</w:t>
      </w:r>
    </w:p>
    <w:p>
      <w:r>
        <w:t>A/3499/2010 - 10/12 - impliqué l'usage accru de la main gauche (soudage de composants sur circuits, gravure manuelle de maquettes, montage d'une étagère). Il avait effectué "avec une bonne fiabilité" un travail de contrôle de qualité de crayons, démontré de bonnes connaissances du français oral et de bonnes capacités d'apprentissage dans les activités informatiques de saisie. Les pistes évoquées par les EPI ont ainsi été une activité de gestionnaire de stock sans port de charges lourdes, une activité d'opérateur en usine sur machine préréglée et un travail d'agent de surveillance. Les conclusions des EPI ne sont donc pas incompatibles avec les emplois proposés par l'intimée, qui seront donc retenus comme exemples valables. La moyenne des revenus se rapportant aux exemples sur lesquels s'est fondée l'intimée est de 55'562 fr. par an. La perte de salaire avec invalidité est ainsi de 19,36% (comparaison 68900 fr. et 55'562 fr.), arrondi à 19%. Partant, le degré de la rente d'invalidité octroyée par l'intimée a été déterminé correctement. Le recours doit donc être rejeté sur ce point.</w:t>
      </w:r>
    </w:p>
    <w:p>
      <w:r>
        <w:rPr>
          <w:b/>
        </w:rPr>
        <w:t>E. 5</w:t>
      </w:r>
    </w:p>
    <w:p>
      <w:r>
        <w:t>A teneur de l'art. 24 al. 1 LAA, l’assuré qui, par suite de l’accident, souffre d’une atteinte importante et durable à son intégrité physique, mentale ou psychique, a droit à une indemnité équitable pour atteinte à l’intégrité. Le Conseil fédéral édicte des prescriptions détaillées sur le calcul de l'indemnité (art. 25 al. 1 et 2 LAA). Selon l'art. 36 de l'ordonnance sur l'assurance-accidents du 20 décembre 1982 (OLAA), édicté conformément à cette délégation de compétence, une atteinte à l'intégrité est réputée importante lorsque l'intégrité physique subit, indépendamment de la diminution de la capacité de gain, une altération évidente ou grave (al. 1). L'indemnité pour atteinte à l'intégrité est calculée selon les directives figurant à l'annexe 3 à l'ordonnance (al. 2).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Contrairement à l'évaluation du tort moral en matière civile,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L'annexe 3 à l'ordonnance sur l'assurance-accidents du 20 décembre 1982 (OLAA) comporte un barème des atteintes à l'intégrité en pour cent du montant maximum du gain assuré. Ce barème - reconnu conforme à la loi - ne constitue pas une</w:t>
      </w:r>
    </w:p>
    <w:p>
      <w:r>
        <w:t>A/3499/2010 - 11/12 -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SUVA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211 consid. 4a/cc; 116 V 157 consid. 3a; ATFA non publié du 28 novembre 2003, U 11/03). Elles permettent de procéder à une appréciation plus nuancée, lorsque l'atteinte d'un organe n'est que partielle. b) En l'espèce, le Dr Q__________E a constaté la raideur persistante en flexion- extension du poignet gauche, la limitation en inclinaison radio-cubitale, la perte de préhension et le développement d'une arthrose radio-carpienne. Ces atteintes durables à la santé du recourant pouvaient être comparées à celles résultant d'une arthrose cario-carpienne. Selon la table V de l'annexe 3, qui peut servir de base de comparaison, le type d'atteinte retenue par le Dr Q__________, lorsqu'elle est légère, ne justifie aucune indemnité et lorsqu'elle est moyenne justifie une indemnité oscillant entre 5% et 10%. Compte tenu des particularités du cas d'espèce, le Dr Q__________ a estimé à 7% le taux de l'atteinte à l'intégrité du recourant. Il n'y a pas de raison de s'écarter de ces constatations et conclusions médicales, qui ne sont contredites par aucun élément au dossier. Par ailleurs, ces éléments avaient été communiqués à l'assuré le 13 juin 2007. Contrairement à ses allégations, les explications nécessaires pour comprendre comment le degré de l'atteinte à l'intégrité a été déterminé lui ont donc été fournies. Mal fondé, le recours est rejeté. * * *</w:t>
      </w:r>
    </w:p>
    <w:p>
      <w:r>
        <w:t>A/3499/2010 - 12/12 -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