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ATAS/653/2010 vom 9. Juni 2010</w:t>
      </w:r>
    </w:p>
    <w:p>
      <w:r>
        <w:t>GE Cour de justice, 2010-06-09, FR</w:t>
      </w:r>
    </w:p>
    <w:p>
      <w:r>
        <w:rPr>
          <w:b/>
        </w:rPr>
        <w:t xml:space="preserve">Quelle: </w:t>
      </w:r>
      <w:r>
        <w:t>https://mcp.opencaselaw.ch/entscheid/ge_gerichte_ATAS_653_2010</w:t>
      </w:r>
    </w:p>
    <w:p>
      <w:r>
        <w:t>FR: GE_GERICHTE ATAS/653/2010 du 9 juin 2010</w:t>
      </w:r>
    </w:p>
    <w:p>
      <w:r>
        <w:t>IT: GE_GERICHTE ATAS/653/2010 del 9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la nécessité de l'intervention chirurgicale du 24 janvier 2008 du recourant, ainsi que les suites de celle-ci, est dans un rapport de causalité avec l'accident survenu le 10 avril 2007.</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w:t>
      </w:r>
    </w:p>
    <w:p>
      <w:r>
        <w:t>A/577/2010 - 10/15 -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En tant que principe répondant à la nécessité de fixer une limite raisonnable à la responsabilité de l'assureur-accidents social, la causalité adéquate n'a cependant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w:t>
      </w:r>
    </w:p>
    <w:p>
      <w:r>
        <w:t>A/577/2010 - 11/15 -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e) L'art. 6 al. 3 LAA prévoit, par ailleurs,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 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 ATF 128 V 169 consid. 1c p. 171 ss; Jean-Maurice FRESARD/Margit MOSER-SZELESS, L'assurance-accidents obligatoire, in : Schweizerisches Bundesverwaltungsrecht (SBVR), 2ème éd., 2007, no 140 sv., ATF non publié du 11 mars 2009, 8C 433/2008)).</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w:t>
      </w:r>
    </w:p>
    <w:p>
      <w:r>
        <w:t>A/577/2010 - 12/15 -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w:t>
      </w:r>
    </w:p>
    <w:p>
      <w:r>
        <w:rPr>
          <w:b/>
        </w:rPr>
        <w:t>E. 6</w:t>
      </w:r>
    </w:p>
    <w:p>
      <w:r>
        <w:t>En l'espèce, le recourant a notamment fait l'objet d'une expertise radiologique par le Pr J__________. Celui-ci arrive à la conclusion qu'en l'absence de documents radiologiques antérieurs au traumatisme, il n'est pas possible de dire avec certitude si le traumatisme est responsable ou non du défaut de position des facettes articulaires droites C6-C7. Cependant, il ne se prononce pas clairement sur la question de savoir s'il y a un lien de causalité pour le moins probable entre la symptomatologie douloureuse ayant nécessité l'intervention chirurgicale en cause et l'accident. Il se contente de relever à cet égard que le patient n'a pas présenté des symptômes avant le traumatisme et qu'il n'y a pas d'autres lésions pouvant expliquer les douleurs, ce qui constitue un argument pour une possible luxation post- traumatique favorisée par l'anomalie congénitale pédiculo-articulaire de C7. Il n'y a</w:t>
      </w:r>
    </w:p>
    <w:p>
      <w:r>
        <w:t>A/577/2010 - 13/15 - pas non plus une anomalie pouvant évoquer une avulsion des racines nerveuses ni une méningocèle. Dans son appréciation médicale subséquente, le Dr H__________ exclut avec certitude le lien de causalité entre la symptomatologie persistante ayant conduit à l'intervention chirurgicale de janvier 2008 et l'accident, en relevant que la malposition de la facette articulaire supérieure de la vertèbre C7 existait déjà avant le traumatisme. Il relève notamment que l'agénésie du pédicule est toujours combinée à d'autres anomalies, à savoir celle de l'apophyse transverse (défaut ou aplasie) et celle du massif articulaire qui est déformée et déplacée en arrière. Dans son avis du 9 avril 2010, le Dr B__________ admet finalement que la malposition facettaire articulaire était préexistante au traumatisme, tout en persistant à considérer qu'il y a un lien de causalité entre la symptomatologie douloureuse et l'accident. Sur la base des appréciations médicales du Dr H__________, le Tribunal de céans estime qu'il y a lieu d'admettre l'existence d'une anomalie congénitale au niveau C6- C7 consistant en un défaut de position des facettes articulaires, associé à une agénésie du pédicule. Toutefois, comme le Dr H__________ le relève dans son appréciation médicale du 21 mai 2008, une telle anomalie est considérée comme asymptomatique, de sorte qu'une autre cause aux douleurs doit être recherchée, selon la littérature (p. 3). Par ailleurs, le Dr H__________, ni aucun autre médecin consulté, n'a trouvé une explication à la symptomatologie douloureuse, en dehors de l'accident, et en l'absence d'autres lésions (avulsion radiculaire, méningocèle et arthrose). En l'état des connaissances, l'accident du 10 avril 2007 constitue dès lors pour l'instant la seule explication pour cette symptomatologie. Certes, pour l'appréciation du lien de causalité, on ne saurait en principe se fonder sur l'adage post hoc, ergo propter hoc, selon la jurisprudence en la matière (ATF 119 V 335 consid. 2b/bb p. 341 s.). Cependant, dans le cas présent, le recourant était complètement asymptomatique avant l'accident et il n'y a aucun état maladif préexistant pour expliquer la symptomatologie. En effet, l'anomalie congénitale ne saurait être considérée comme une cause possible de cette symptomatologie, dans la mesure où, comme relevé ci-dessus, elle est généralement asymptomatique, de sorte que sa découverte est fortuite. Dans ces conditions, il convient d'admettre que le traumatisme constitue, au degré de la vraisemblance prépondérante, la cause de la symptomatologie douloureuse et que soit le défaut de position des facettes articulaires a été aggravé par l'accident soit l'impact de la porte de l'armoire sur cervicales a provoqué une autre lésion, par exemple ligamentaire, sur un cadre malformatif, comme le Dr B__________ l'a relevé dans son courrier du 9 avril 2010 au Tribunal de céans.</w:t>
      </w:r>
    </w:p>
    <w:p>
      <w:r>
        <w:t>A/577/2010 - 14/15 - Il sied en outre de rappeler que, s'il est vrai que l'opération du 24 janvier 2008 n'a pas permis de décrocheter les vertèbres, elle a néanmoins réduit le crochetage, comme cela ressort du résumé d'observation du 30 janvier 2008 des Drs B__________ et D__________. Pour toutes ces raisons, le Tribunal de céans est de l'avis qu'au degré de la vraisemblance prépondérante, le lien de causalité naturelle et adéquate entre la symptomatologie ayant nécessité l'intervention de janvier 2008 et l'accident doit être admis. Cependant, il ne saurait en être déduit que le lien de causalité est admis du seul fait que la symptomatologie douloureuse est apparue seulement après l'accident. Au contraire, comme exposé ci-dessus, cette appréciation des preuves tient en particulier compte de ce qu'il n'y avait aucun état maladif préexistant pouvant expliquer les plaintes qui ont subsisté. Il est à cet égard à relever que, dans le cas jugé par notre Haute Cour et publié aux ATF 119 V 335, le lien de causalité a été essentiellement nié en raison d'une pathologie préexistante et que la situation à la base de cet arrêt ne saurait dès lors être comparable au cas présentement jugé. Quant à l'indication opératoire, elle est éventuellement discutable, dans la mesure où le Dr B__________ n'a apparemment pas identifié le défaut de position des facettes articulaires comme une anomalie congénitale, mais comme une luxation post-traumatique. Toutefois, s'agissant le cas échéant d'une intervention consécutive à une erreur de diagnostic, l'assureur-accidents ne saurait pour autant refuser d'en prendre en charge les frais, la couverture étant également donnée pour les lésions causées à l'assuré victime d'un accident lors du traitement médical, selon l'art. 6 al. 3 LAA. Il y a lieu en outre d'admettre que l'intervention aurait été tout à fait justifiée en cas de luxation post-traumatique.</w:t>
      </w:r>
    </w:p>
    <w:p>
      <w:r>
        <w:rPr>
          <w:b/>
        </w:rPr>
        <w:t>E. 7</w:t>
      </w:r>
    </w:p>
    <w:p>
      <w:r>
        <w:t>Au vu de ce qui précède, le recours sera admis et le recourant mis au bénéfice des prestations de l'intimée pour les frais médicaux liés à l'intervention du 24 janvier 2008, ainsi que l'incapacité de travail consécutive.</w:t>
      </w:r>
    </w:p>
    <w:p>
      <w:r>
        <w:rPr>
          <w:b/>
        </w:rPr>
        <w:t>E. 8</w:t>
      </w:r>
    </w:p>
    <w:p>
      <w:r>
        <w:t>Le recourant obtenant gain de cause, une indemnité de 2'000 fr. lui est octroyée à titre de dépens</w:t>
      </w:r>
    </w:p>
    <w:p>
      <w:r>
        <w:t>A/577/2010 - 15/15 -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