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ATAS/653/2008 vom 25. April 2007</w:t>
      </w:r>
    </w:p>
    <w:p>
      <w:r>
        <w:t>GE Cour de justice, 2007-04-25, FR</w:t>
      </w:r>
    </w:p>
    <w:p>
      <w:r>
        <w:rPr>
          <w:b/>
        </w:rPr>
        <w:t xml:space="preserve">Quelle: </w:t>
      </w:r>
      <w:r>
        <w:t>https://mcp.opencaselaw.ch/entscheid/ge_gerichte_ATAS_653_2008</w:t>
      </w:r>
    </w:p>
    <w:p>
      <w:r>
        <w:t>FR: GE_GERICHTE ATAS/653/2008 du 25 avril 2007</w:t>
      </w:r>
    </w:p>
    <w:p>
      <w:r>
        <w:t>IT: GE_GERICHTE ATAS/653/2008 del 25 aprile 2007</w:t>
      </w:r>
    </w:p>
    <w:p>
      <w:pPr>
        <w:pStyle w:val="Heading2"/>
      </w:pPr>
      <w:r>
        <w:t>Erwägungen</w:t>
      </w:r>
    </w:p>
    <w:p>
      <w:r>
        <w:rPr>
          <w:b/>
        </w:rPr>
        <w:t>E. 1</w:t>
      </w:r>
    </w:p>
    <w:p>
      <w:r>
        <w:t>Conformément à l'art. 56 V al. 2 let. e LOJ, le Tribunal cantonal des assurances sociales connaît en instance unique des contestations prévues à l’art. 38A de la loi cantonale sur les allocations familiales du 1er mars 1996 (LAF). Sa compétence pour juger du cas d’espèce est ainsi établie, le litige portant sur l'application de la LAF (art. 38A al. 2 LAF).</w:t>
      </w:r>
    </w:p>
    <w:p>
      <w:r>
        <w:rPr>
          <w:b/>
        </w:rPr>
        <w:t>E. 2</w:t>
      </w:r>
    </w:p>
    <w:p>
      <w:r>
        <w:t>Le recours, interjeté en temps utile, est recevable (art. 38 a LAF).</w:t>
      </w:r>
    </w:p>
    <w:p>
      <w:r>
        <w:rPr>
          <w:b/>
        </w:rPr>
        <w:t>E. 3</w:t>
      </w:r>
    </w:p>
    <w:p>
      <w:r>
        <w:t>En l'occurrence, il n'est pas contesté que la recourante fait partie du cercle des assujettis et qu'elle peut bénéficier des allocations familiales à Genève. Seule est litigieuse la question de savoir si elle avait droit à des allocations différentielles - et le cas échéant à quelle hauteur - durant la période du 1er avril au 31 décembre 2006, étant précisé qu'elle a reçu des allocations du canton de Vaud durant ce laps de temps.</w:t>
      </w:r>
    </w:p>
    <w:p>
      <w:r>
        <w:rPr>
          <w:b/>
        </w:rPr>
        <w:t>E. 4</w:t>
      </w:r>
    </w:p>
    <w:p>
      <w:r>
        <w:t>Il convient en effet de rappeler qu'aux termes de l'art. 9 al. 1 LAF, le même enfant ne donne pas droit à plus d'une allocation du même genre. En conséquence, les allocations prévues par la loi cantonale genevoise ne sont pas dues si le même enfant ouvre droit à des prestations familiales en vertu d'une autre législation ou de</w:t>
      </w:r>
    </w:p>
    <w:p>
      <w:r>
        <w:t>A/1705/2007 - 5/7 - rapports de service régis par le droit public interne ou international (art. 9 al. 2 LAF).</w:t>
      </w:r>
    </w:p>
    <w:p>
      <w:r>
        <w:rPr>
          <w:b/>
        </w:rPr>
        <w:t>E. 5</w:t>
      </w:r>
    </w:p>
    <w:p>
      <w:r>
        <w:t>S’agissant de conflits positifs de droit entre cantons – conflits qu’aucun concordat intercantonal ne règle à l’heure actuelle – le Tribunal de céans a estimé, se basant sur un arrêt rendu par le Tribunal fédéral le 11 juillet 2003 (ATF 2P.131/2002 publié in ATF 129 I 265), que la législation européenne pouvait s’appliquer par analogie (cf. ATAS 420/2005 du 12 mai 2005; ATAS 267/2005 du 5 avril 2005). Retenant, à l’instar du Tribunal fédéral, que les dispositions européennes exerçaient une influence directe sur la Suisse, non seulement dans ses relations avec les autres États européens, mais également dans les relations intercantonales, le Tribunal de céans a estimé qu’il se justifiait d’appliquer par analogie la législation européenne et d’appliquer ainsi en priorité le droit du canton de résidence des enfants (cf. les règles de conflit figurant aux art. 73 et 76 du règlement (CEE) n°1408/71 du conseil (05.20.40.20). Il convient dès lors d’appliquer dans leur ensemble les dispositions prévues par le droit européen en cas de cumul. Ainsi, l’art. 76 al. 1 du règlement n°1408/71 prévoit des règles de priorité en cas de cumul de droits à prestations familiales en vertu de la législation de l'État compétent et en vertu de la législation du pays de résidence des membres de la famille : lorsque des prestations familiales sont, au cours de la même période, pour le même membre de la famille et au titre de l'exercice d'une activité professionnelle, prévues par la législation de l'État membre sur le territoire duquel les membres de la famille résident, le droit aux prestations familiales dues en vertu de la législation d'un autre État membre, le cas échéant en application des articles 73 ou 74, est suspendu jusqu'à concurrence du montant prévu par la législation du premier État membre. Une telle solution va d’ailleurs dans le sens des débats qui se déroulent actuellement en matière d’allocations familiales devant le parlement. En effet, l’art. 3a al. 4 du projet de loi modifiant la LAF actuellement en consultation prévoit, s’agissant du « concours intercantonal », qu’en application, par analogie, des règles de coordination découlant de l’Accord entre la Communauté européenne et ses États membres, d’une part, et la Confédération suisse, d’autre part, sur la libre circulation des personnes, l’ordre de priorité est le suivant : a) le canton dans lequel est exercée l’activité lucrative est compétent pour verser les allocations familiales ; b) lorsque les deux parents exercent une activité lucrative dans différents cantons et remplissent dans chacun des cantons les conditions d’ouverture du droit aux prestations, il appartient au canton de domicile des enfants de verser les allocations familiales. L’autre canton doit, le cas échéant, payer un complément différentiel si ses prestations sont plus élevées que celles du canton de domicile des enfants.</w:t>
      </w:r>
    </w:p>
    <w:p>
      <w:r>
        <w:t>A/1705/2007 - 6/7 -</w:t>
      </w:r>
    </w:p>
    <w:p>
      <w:r>
        <w:rPr>
          <w:b/>
        </w:rPr>
        <w:t>E. 6</w:t>
      </w:r>
    </w:p>
    <w:p>
      <w:r>
        <w:t>En l'espèce, il apparaît qu'un droit aux allocations familiales a été ouvert dans le canton de Vaud. Ce dernier est prioritaire, non parce que ses prestations sont pour partie plus élevées, comme semble le croire la recourante, mais parce que c'est dans le canton de Vaud que résident les enfants, raison pour laquelle le droit cantonal vaudois est applicable en priorité. Il n’en demeure pas moins que le droit de la recourante à des allocations familiales est également admis par le droit cantonal genevois et que le cumul n’existe qu’à hauteur du montant versé par le canton de Vaud. Il appartient donc au canton de Genève de verser le complément différentiel. Pour déterminer celui-ci, il n'y a pas lieu d'opérer une distinction entre les diverses prestations accordées. En effet, ainsi que le fait remarquer l'intimée, il n'existe aucune raison de traiter séparément l'allocation de naissance et l'allocation familiale sous prétexte de permettre aux parents de pouvoir bénéficier à la fois des allocations de naissance plus élevées du canton de Vaud et des allocations familiales plus élevées servies par le canton de Genève. Il sied de rappeler que l'art. 9 al. 2 LAF - toujours en vigueur - a pour but d'empêcher que les parents puissent choisir, à leur gré, le régime le plus favorable ou passer d’un régime à l’autre suivant les prestations qu’ils désirent obtenir. Au surplus, tant les allocations de naissance que celles pour famille nombreuses rentrent dans le cadre plus large des allocations familiales - ainsi que cela ressort de la systématique des lois cantonales, tant genevoise que vaudoise. Eu égard aux considérations qui précèdent, c'est à bon droit que l'intimée a tenu compte des allocations de naissance et pour famille nombreuse dans son calcul différentiel. Il convient encore de relever que la caisse cantonale de compensation a confirmé que c'est ainsi qu'elle procède, contrairement aux affirmations de la recourante, qui invoquait une pratique différente des caisses cantonales.</w:t>
      </w:r>
    </w:p>
    <w:p>
      <w:r>
        <w:rPr>
          <w:b/>
        </w:rPr>
        <w:t>E. 7</w:t>
      </w:r>
    </w:p>
    <w:p>
      <w:r>
        <w:t>Quant à la question de savoir à partir de quand doivent être allouées les allocations familiales à proprement parler, l'art. 7 LAF précise qu'elles sont accordées dès le mois qui suit celui de la naissance de l'enfant. Là encore, c'est donc à juste titre que l'intimée n'en a tenu compte, s'agissant des jumeaux, qu'à compter du mois de juin 2006, ces derniers étant nés au mois de mai.</w:t>
      </w:r>
    </w:p>
    <w:p>
      <w:r>
        <w:rPr>
          <w:b/>
        </w:rPr>
        <w:t>E. 8</w:t>
      </w:r>
    </w:p>
    <w:p>
      <w:r>
        <w:t>Eu égard aux considérations qui précèdent, le recours est rejeté.</w:t>
      </w:r>
    </w:p>
    <w:p>
      <w:r>
        <w:t>A/1705/2007 - 7/7 -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