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ATAS/652/2023 vom 30. August 2023</w:t>
      </w:r>
    </w:p>
    <w:p>
      <w:r>
        <w:t>GE Cour de justice, 2023-08-30, FR</w:t>
      </w:r>
    </w:p>
    <w:p>
      <w:r>
        <w:rPr>
          <w:b/>
        </w:rPr>
        <w:t xml:space="preserve">Quelle: </w:t>
      </w:r>
      <w:r>
        <w:t>https://mcp.opencaselaw.ch/entscheid/ge_gerichte_ATAS_652_2023</w:t>
      </w:r>
    </w:p>
    <w:p>
      <w:r>
        <w:t>FR: GE_GERICHTE ATAS/652/2023 du 30 août 2023</w:t>
      </w:r>
    </w:p>
    <w:p>
      <w:r>
        <w:t>IT: GE_GERICHTE ATAS/652/2023 del 30 agosto 2023</w:t>
      </w:r>
    </w:p>
    <w:p>
      <w:pPr>
        <w:pStyle w:val="Heading2"/>
      </w:pPr>
      <w:r>
        <w:t>Erwägungen</w:t>
      </w:r>
    </w:p>
    <w:p>
      <w:r>
        <w:rPr>
          <w:b/>
        </w:rPr>
        <w:t>E. 22</w:t>
      </w:r>
    </w:p>
    <w:p>
      <w:r>
        <w:t>juin 2022 et 27 février 2023. k. La recourante a fait valoir que compte tenu des contraintes liées à la maladie gastroentérologique, l’abattement devait être augmenté à 15% et qu’un abattement de 10% était un minimum dans le cas d’espèce. Le taux d’invalidité pour la part active devait être fixé en tenant compte d’un revenu sans invalidité de CHF 47'248.- et d’un revenu avec invalidité de CHF 23'624.-. Le gain d’invalide après abattement minimum était CHF 21'261.60 et le taux d’invalidité globale de 41.25% (55% x 75%), ce qui lui ouvrait le droit à une rente ainsi qu’à des mesures de reclassement. l. Le 24 mars 2023, l’intimé a fait valoir que les experts ne s’étaient toujours pas prononcés sur la période antérieure à 2018 et qu’ils n’avaient pas envoyé d’appréciation consensuelle. EN DROIT 1. Conformément à l'art. 134 al. 1 let. a ch. 2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la forme et le délai prévus par la loi, le recours est recevable (art. 56 ss LPGA et 62 ss LPA). 3. Le 1er janvier 2022, sont entrées en vigueur les modifications de la LAI du 19 juin 2020 (développement continu de l’AI ; RO 2021 705) ainsi que celles du 3 novembre 2021 du règlement sur l’assurance-invalidité du 17 janvier 1961 (RAI - RS 831.201 ; RO 2021 706).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w:t>
      </w:r>
    </w:p>
    <w:p>
      <w:r>
        <w:t>A/807/2020 - 7/15 - En l’occurrence, la décision querellée a été rendue antérieurement au 1er janvier 2022, de sorte que les dispositions légales applicables seront citées dans leur ancienne teneur. 4. Le litige porte sur le droit de la recourante aux prestations de l’assurance- invalidité. 5.</w:t>
      </w:r>
    </w:p>
    <w:p>
      <w:r>
        <w:t>5.1 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aLAI). L'art. 28 al. 1 aLAI prévoit les conditions d'octroi de la rente. Entre autres exigences, l'assuré a droit à une rente s'il a présenté une incapacité de travail d'au moins 40% en moyenne durant une année sans interruption notable (let. b). L'art. 29 al. 1 LAI établit le moment où naît le droit à la rente, soit au plus tôt à l'échéance d'une période de six mois à compter de la date à laquelle l'assuré a fait valoir son droit aux prestations. Selon l’art. 29 al. 3 LAI, la rente est versée dès le début du mois au cours duquel le droit prend naissance. 5.2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A/807/2020 - 8/15 -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5.3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6. Il convient d’examiner en premier lieu la valeur probante de l’expertise judiciaire. 6.1 Cette dernière répond a priori aux réquisits permettant de lui reconnaître une force probante. 6.2 L’intimé reproche aux experts de ne pas avoir décrit les activités quotidiennes de la recourante. La chambre relève à cet égard que la mission d’expertise ne demandait pas aux experts de décrire la vie quotidienne de la recourante. S’il est usuel de retrouver une telle rubrique dans les rapports d’expertise, elle n’est pas forcément indispensable, d’autant moins dans le cadre d’une expertise orthopédique ou rhumatologique, dont les conclusions reposent essentiellement sur les constats objectifs des médecins et les rapports d’examens radiologiques (ATAS/900/2021 1er septembre 2021). Quoi qu’il en soit, le Dr I______ a complété l’expertise sur ce point et il n’en ressort pas d’éléments qui remettraient en cause les conclusions des experts. Ce grief doit en conséquence être rejeté.</w:t>
      </w:r>
    </w:p>
    <w:p>
      <w:r>
        <w:t>A/807/2020 - 9/15 - 6.3 Le SMR a encore fait valoir que les experts n’ont pas transmis à la chambre de céans une appréciation consensuelle. Le but d'une expertise pluridisciplinaire est d'apprécier toutes les atteintes à la santé et leurs conséquences sur la capacité de travail (ATF 137 V 210). Il est parfois difficile de distinguer les atteintes à la santé des facteurs étrangers à l'invalidité. Dans ce cadre, l'appréciation globale et consensuelle des experts ayant participé à l'expertise est souhaitable, sans être obligatoire (arrêt du Tribunal fédéral 9C_889/2015 du 15 janvier 2016). De même, le fait qu'une partie de l'expertise pluridisciplinaire ne soit pas convaincante ne signifie pas nécessairement que toute l'expertise ait perdu toute valeur probante (arrêt du Tribunal fédéral 9C_556/2012 du 25 février 2013). En l’espèce, bien que le Prof. H______ ait indiqué qu’il envoyait à la chambre le consensus par courrier séparé de son complément d’expertise du 22 juin 2022, il ne l’a pas fait. Cela étant, l’appréciation consensuelle des experts ressort clairement de la teneur de leurs rapports complémentaires. En effet, le Dr I______ a indiqué que la capacité de travail globale de la recourante correspondait à l’appréciation rhumatologique et le Prof. H______ que, de manière consensuelle, la capacité de travail était de 50% dans une activité adaptée. Ce second grief doit en conséquence également être écarté. 6.4 Concernant le diagnostic de spondylarthrite ankylosante, le SMR a fait valoir que des atteintes inflammatoires radiologiques ou cliniques n’avaient jamais pu être démontrées. Le Prof. H______ a complété son rapport sur ce point et précisé, le 22 juin 2022, que malheureusement, on ne voyait pas toujours de signes inflammatoires objectivables dans les spondylarthrites. Un diagnostic de spondylarthrite associée à une MICI avait été posé par trois rhumatologues différents, dont le docteur K______, qui était un expert internationalement reconnu dans le domaine, avis auquel il s’était rallié. Il était en outre possible que les signes d’inflammation soient réduits ou masqués par la forte immunosuppression avec Xeljanz et 25 mg de méthotrexate. S’agissant du diagnostic de spondylarthrite ankylosante remis en cause par le SMR, ses collègues des HUG et lui-même ne posaient pas ce diagnostic, mais celui d’une spondylarthrite associée à une MICI. Dans le cas présent, il n’y avait pas d’ankylose (fusion pathologique des eaux due à une inflammation). Il faut constater que l’expert H______ n’a effectivement pas mentionné le diagnostic de spondylarthrite ankylosante dans son rapport du 14 septembre 2021, mais celui de spondylarthrite HLA-B27 négatif dans le cadre d’une MICI. Ses explications complémentaires sur ce diagnostic sont par ailleurs suffisantes et convaincantes.</w:t>
      </w:r>
    </w:p>
    <w:p>
      <w:r>
        <w:t>A/807/2020 - 10/15 - 6.5 S’agissant du fait que le SMR avait déploré qu’aucun critère de diagnostic n’avait été indiqué pour la fibromyalgie, le Prof. H______ a encore indiqué qu’il s’agissait dans le cas présent d’une fibromyalgie secondaire et que celle-ci ne correspondait pas à une fibromyalgie primaire, pour laquelle les critères de diagnostic avaient été validés. Il fallait poser le diagnostic de fibromyalgie secondaire en présence d’une généralisation et d’une intensification globale des douleurs, accompagnées de fatigue, de troubles du sommeil, ou d’une absence de réponse aux médicaments classiques de la spondylarthrite. En cas de fibromyalgie secondaire avec propagation de la douleur, une maladie psychiatrique substantielle, en particulier une dépression, n’était pas obligatoire. Dans son premier rapport, l’expert avait indiqué que dans la littérature le diagnostic de fibromyalgie secondaire en association avec le « SPA » était très fréquent et que chez la recourante, ce diagnostic contribuait considérablement, en association avec la spondylarthrite associée à une MICI, à une réduction de ses ressources physiques. En conclusion, l’expert a motivé le diagnostic de fibromyalgie secondaire de manière suffisante et convaincante et le grief du SMR doit être écarté. 6.6 Le SMR a indiqué ne pas comprendre pourquoi la capacité de travail était évaluée sur le plan rhumatologique comme abaissée à 50%, alors que la recourante ne présentait aucun signe inflammatoire, clinique, biologique ni radiologique et que ses activités quotidiennes n’étaient pas connues. Les experts retenaient une aggravation de l’état de santé de l’assurée depuis 2019 sans plus de précisions. Ils ne se prononçaient pas sur la capacité de travail antérieure à cette date et n’expliquaient pas suffisamment pourquoi ils se distanciaient des experts du F______. Le Prof. H______ a répondu que les évaluations rétrospectives de la capacité de travail ou des ressources étaient toujours difficiles. La Dre D______ parlait déjà depuis 2018 d’une capacité de travail de 50% dans une activité adaptée. Sur la base du dossier et de son évaluation anamnestique, il avait suivi cette estimation au moins depuis 2019, car, malgré différents immunosuppresseurs, l’état de santé s’était détérioré avec des poussées de colite et de douleurs. Il supposait également que la fibromyalgie secondaire s’était développée ici. Du point de vue rhumatologique, la recourante était capable de travailler avant 2019, du moins dans une activité adaptée. Les différents diagnostics se potentialisaient en partie, surtout en ce qui concernait les ressources de la recourante. Selon l’appréciation consensuelle, la recourante était capable de travailler à 50% dans une activité adaptée. Cette réponse répond de manière satisfaisante aux critiques du SMR. Le Prof. H______ avait déjà indiqué dans son premier rapport qu’il ne rejoignait pas l’appréciation du F______sur la capacité de travail, car une capacité de 100% avec une perte de rendement de 20% ne lui apparaissait pas réaliste à ce jour,</w:t>
      </w:r>
    </w:p>
    <w:p>
      <w:r>
        <w:t>A/807/2020 - 11/15 - surtout concernant la « SPA » avec une fibromyalgie secondaire et un traitement plutôt lourd, une fatigue persistante et la persistance des crises concernant la maladie digestive. 6.7 L’intimé a encore fait valoir que les experts ne s’étaient pas prononcés dans leurs rapports complémentaires sur la période antérieure à 2018, ce qui est inexact puisque le Prof. H______ a indiqué dans son rapport du 22 juin 2022 qu’il retenait que la recourante était capable de travailler dans une activité adaptée depuis 2019 et qu’elle, était, du point rhumatologique déterminant en l’occurrence, capable de travailler avant 2019 dans une activité adaptée. 6.8 En conclusion, les critiques émises par l’intimé et le SMR contre les rapports de l’expertise judiciaire ne suffisent pas à remettre en cause cette dernière, qui doit se voir reconnaître une pleine valeur probante. Sur cette base, il y a lieu de retenir que la recourante était capable de travailler à 50% dans une activité adaptée dès janvier 2019. 7. La recourante a encore fait valoir qu’un abattement de 10% au moins devait être retenu sur le salaire avec invalidité, ce que l’intimé ne conteste pas, ayant déjà retenu un tel abattement dans son calcul du taux d’invalidité du 13 novembre 2019. Elle a calculé dans ses dernières écritures le revenu avec invalidité en se fondant sur le revenu sans invalidité retenu par l’intimé, soit CHF 47'248.- fixé sur la base des ESS 2016, TA1 privé, ligne 81, activité de niveau 1, alors que l’intimé a pris en compte la ligne Total pour ce revenu. Se pose dès lors la question de savoir comment les revenus avec et sans invalidité doivent être fixés. 7.1 Lorsque les tableaux ESS sont applicables, les salaires mensuels contenus dans le tableau TA1, Total secteur privé, sont généralement utilisés ; il s'agit de la statistique des salaires bruts standardisés, valeur moyenne ou centrale (ATF 124 V 321 consid. 3b), et à partir de l’ESS 2012 le tableau TA1_tirage_skill_level doit être utilisé au lieu de TA_b (ATF 143 V 295 consid. 4.2.2 p. 302 ss ; 142 V 178 consid. 2.5.3.1 p. 184 ss). Dans certains cas, cependant, il peut être nécessaire de se référer aux revenus statistiques réalisés dans un secteur de l’économie (secteur 2 [production] ou 3 [services]) ou même à une branche économique en particulier. Tel sera le cas s'il est plus objectif de tenir compte dans le cas concret d'une exploitation de la capacité de travail exigible, notamment pour les assurés qui, avant l'atteinte à la santé, travaillaient dans un domaine pendant de nombreuses années et qu'une activité dans un autre domaine n'entre pas en ligne de compte. Au vu de la jurisprudence précitée, il apparait que l’intimé aurait dû fixer le revenu avant invalidité comme le revenu sans invalidité sur la base des ESS 2016, TA 1 (privé) pour une femme, correspondant à la ligne Total dans une activité de niveau 1, car la recourante n’a pas travaillé pendant de longues années comme femme de ménage et a exercé d’autres activités (serveuse, caissière, ouvrière, secrétaire et employée de maison selon l’expertise du Prof. H______).</w:t>
      </w:r>
    </w:p>
    <w:p>
      <w:r>
        <w:t>A/807/2020 - 12/15 - En conséquence, le taux d’invalidité dans la sphère professionnelle dès 2019 doit être fixé en prenant en compte un revenu sans invalidité de CHF 55'045.- et un revenu avec invalidé de CHF 24'770.- (soit CHF 55'045.- – 50%, – 10%), étant précisé que comme les revenus avant et sans invalidité sont fixés sur la même base, il est inutile de les indexer à 2019. Il en résulte un taux d’invalidité de 55% dans la part professionnelle, soit un taux de 41.25% ramené à un statut d’active de 75%. Le taux d’invalidité global est également de 41.25%, compte tenu d’une invalidité nulle dans la sphère ménagère, ce qui ouvre à la recourante le droit à un quart de rente. Même si par hypothèse, on retenait un taux d’abattement de 15%, cela n’ouvrirait pas plus de droit à la recourante. 8. Il faut encore examiner si elle a droit à un reclassement ou à une aide au placement. 8.1 Il n'existe pas un droit inconditionnel à obtenir une mesure professionnelle (arrêt du Tribunal fédéral 9C_385/2009 du 13 octobre 2009). Si une perte de gain de 20% environ ouvre en principe droit à une mesure de reclassement dans une nouvelle profession (ATF 139 V 399 consid. 5.3 ; arrêt du Tribunal fédéral 9C_500/2020 du 1er mars 2021 consid. 2 et les références), la question reste ouverte s'agissant des autres mesures d'ordre professionnel prévues par la loi (cf. arrêt du Tribunal fédéral 9C_464/2009 du 31 mai 2010). 8.2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L'assuré ne peut prétendre une formation d'un niveau supérieur à celui de son ancienne activité, sauf si la nature et la gravité de l'invalidité sont telles que seule</w:t>
      </w:r>
    </w:p>
    <w:p>
      <w:r>
        <w:t>A/807/2020 - 13/15 - une formation d'un niveau supérieur permet de mettre à profit d'une manière optimale la capacité de travail à un niveau professionnel plus élevé. Enfin, si les préférences de l'intéressé quant au choix du genre de reclassement doivent être prises en considération, elles ne sauraient toutefois jouer un rôle déterminant (ATF 139 V 399 consid. 5.4; 130 V 488 consid. 4.2 et les références). 8.3 Aux termes de l'art. 18 al. 1 aLAI, l'assuré présentant une incapacité de travail (art. 6 LPGA) et susceptible d'être réadapté a droit à un soutien actif dans la recherche d'un emploi approprié (let. a) et à un conseil suivi afin de conserver un emploi (let. b).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(arrêt du Tribunal fédéral des assurances] I 421/01 du 15 juillet 2002, consid. 2c in VSI 2003 p. 274; arrêt du Tribunal fédéral 9C_859/2010 du 9 août 2011 consid. 2.2).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principe dont la jurisprudence a admis qu'il demeurait valable également après l'entrée en vigueur de la 4ème et de la 5ème révision de l'AI (arrêt du Tribunal fédéral des assurances I 427/05 du 24 mars 2006, in SVR 2006 IV Nr. 45 p. 162; arrêt du Tribunal fédéral 9C_416/2009 du 1er mars 2010 consid. 5.2). 8.4 En l'espèce, au vu du taux d'invalidité de la recourante, une mesure de reclassement au sens de l'art. 17 LAI serait envisageable. Elle ne se justifie toutefois pas, dès lors que les activités adaptées légères que la recourante est à même d'exercer ne nécessitent pas de formation (cf. arrêt du Tribunal fédéral 9C_467/2012 du 25 février 2013 consid. 5.2; ATAS/432/2018 du 23 mai 2018 consid. 15e).</w:t>
      </w:r>
    </w:p>
    <w:p>
      <w:r>
        <w:t>A/807/2020 - 14/15 - Le droit à une aide au placement doit également être nié à la recourante, car elle n’est pas entravée par les limitations liées à son état de santé dans ses démarches pour retrouver un emploi. Enfin, il y a lieu d'admettre, compte tenu des limitations fonctionnelles retenues, qu'il existe un nombre suffisant large d’activités légères sur le marché du travail que la recourante peut assumer, de sorte qu’elle ne peut pas non plus se voir reconnaître le droit à une orientation professionnelle selon l'art. 15 LAI. 9.</w:t>
      </w:r>
    </w:p>
    <w:p>
      <w:r>
        <w:t>9.1 Au vu de ce qui précède, le recours sera partiellement admis, la décision du</w:t>
      </w:r>
    </w:p>
    <w:p>
      <w:r>
        <w:rPr>
          <w:b/>
        </w:rPr>
        <w:t>E. 31</w:t>
      </w:r>
    </w:p>
    <w:p>
      <w:r>
        <w:t>janvier 2020 réformée et il sera dit que la recourante a droit un quart de rente d’invalidité dès le 1er janvier 2019. 9.2 La recourante obtenant partiellement gain de cause, une indemnité de CHF 4'000.- lui sera accordée, y compris les frais de transport pour l’expertise de CHF 372.40 (532 km x CHF 0.7), à titre de participation à ses frais et dépens (art. 61 let. g LPGA; art. 6 du règlement sur les frais, émoluments et indemnités en matière administrative du 30 juillet 1986 [RFPA - E 5 10.03]). 9.3 Les frais qui découlent de la mise en œuvre d'une expertise judiciaire pluridisciplinaire peuvent être mis à la charge de l’OAI (cf. ATF 139 V 349 consid. 5.4), si ce dernier a procédé à une instruction présentant des lacunes ou des insuffisances caractérisées et que l'expertise judiciaire sert à pallier des manquements commis dans la phase d'instruction administrative (ATF 137 V 210 consid. 4.4.2). En l’espèce, l’expertise judiciaire a été ordonnée au motif que l’expertise administrative souffrait d’un défaut important, il se justifie en conséquence d’en mettre les frais à la charge de l’intimé. 9.4 Au vu du sort du recours, il y a lieu de condamner l'intimé au paiement d'un émolument de CHF 200.- (art. 69 al. 1bis LAI).</w:t>
      </w:r>
    </w:p>
    <w:p>
      <w:r>
        <w:t>A/807/2020 - 15/15 -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