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ATAS/652/2016 vom 18. August 2016</w:t>
      </w:r>
    </w:p>
    <w:p>
      <w:r>
        <w:t>GE Cour de justice, 2016-08-18, FR</w:t>
      </w:r>
    </w:p>
    <w:p>
      <w:r>
        <w:rPr>
          <w:b/>
        </w:rPr>
        <w:t xml:space="preserve">Quelle: </w:t>
      </w:r>
      <w:r>
        <w:t>https://mcp.opencaselaw.ch/entscheid/ge_gerichte_ATAS_652_2016</w:t>
      </w:r>
    </w:p>
    <w:p>
      <w:r>
        <w:t>FR: GE_GERICHTE ATAS/652/2016 du 18 août 2016</w:t>
      </w:r>
    </w:p>
    <w:p>
      <w:r>
        <w:t>IT: GE_GERICHTE ATAS/652/2016 del 18 agosto 2016</w:t>
      </w:r>
    </w:p>
    <w:p>
      <w:pPr>
        <w:pStyle w:val="Heading2"/>
      </w:pPr>
      <w:r>
        <w:t>Erwägungen</w:t>
      </w:r>
    </w:p>
    <w:p>
      <w:r>
        <w:rPr>
          <w:b/>
        </w:rPr>
        <w:t>E. 1</w:t>
      </w:r>
    </w:p>
    <w:p>
      <w:r>
        <w:t>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Les dispositions de la LPGA s'appliquent à l'assurance-accidents, à moins que la loi n'y déroge expressément (art. 1 al. 1 LAA).</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sur opposition circonscrit l’objet de la contestation au droit à une rente d’invalidité et à une indemnité pour atteinte à l’intégrité. Dans son recours, l’assuré ne prend pas de conclusion portant sur d’autres prestations. Partant, le litige porte uniquement sur les taux respectifs de la rente et de l’indemnité pour atteinte à l’intégrité accordées à l’assuré, ainsi que sur le point de savoir si ses troubles psychiques doivent être pris en compte dans leur évaluation.</w:t>
      </w:r>
    </w:p>
    <w:p>
      <w:r>
        <w:rPr>
          <w:b/>
        </w:rPr>
        <w:t>E. 5</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t>A/1237/2015 - 11/23 - b.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c.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s. consid. 5). Dans le cas d'un accident insignifiant ou de peu de gravité, l'existence d'un lien de causalité adéquate entre l'accident et les troubles psychiques doit, en règle ordinaire, être d'emblée niée.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Tous ces critères ne doivent pas être réunis pour que la causalité adéquate soit admise. Dans l’éventualité d’un accident de gravité moyenne, le juge des assurances ne peut admettre la causalité adéquate que si l'un des critères retenus s'est manifesté de manière particulièrement marquante pour l'accident, ou si ces critères déterminants se trouvent soit cumulés, soit réunis d'une façon frappante (arrêt du Tribunal fédéral U 53/01 du 16 octobre 2001, consid. 4).</w:t>
      </w:r>
    </w:p>
    <w:p>
      <w:r>
        <w:t>A/1237/2015 - 12/23 -</w:t>
      </w:r>
    </w:p>
    <w:p>
      <w:r>
        <w:rPr>
          <w:b/>
        </w:rPr>
        <w:t>E. 6</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294ss).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w:t>
      </w:r>
    </w:p>
    <w:p>
      <w:r>
        <w:t>A/1237/2015 - 13/23 - marché du travail équilibré, structuré de telle sorte qu'il offre un éventail d'emplois diversifié, est suffisant (arrêt du Tribunal fédéral des assurances I 778/05 du</w:t>
      </w:r>
    </w:p>
    <w:p>
      <w:r>
        <w:rPr>
          <w:b/>
        </w:rPr>
        <w:t>E. 11</w:t>
      </w:r>
    </w:p>
    <w:p>
      <w:r>
        <w:t>a. Il convient à présent de se prononcer sur la capacité de travail de l’assuré. La décision litigieuse, fondée sur les rapports de la CRR et des médecins d’arrondissement de la SUVA, les Drs J______ et N______, retient qu’elle est entière dans toute activité adaptée aux limitations énoncées. b. La Chambre de céans constate que les rapports des Drs J______ et N______ ont été établis en pleine connaissance du dossier, qu’ils relatent les plaintes de l’assuré et reposent sur des examens cliniques complets. Leurs conclusions attestant d’une pleine capacité de travail dans toute activité permettant d’alterner les positions et d’éviter le port de charges supérieures à 10 kg, la marche prolongée, les positions</w:t>
      </w:r>
    </w:p>
    <w:p>
      <w:r>
        <w:t>A/1237/2015 - 17/23 - agenouillée ou accroupies et les montées répétées d’escaliers sont claires, motivées et exemptes de contradictions. Lesdits rapports répondent donc aux réquisits jurisprudentiels relatifs à la valeur probante. c. Celui de la CRR se fonde également sur des examens orthopédiques et psychiatriques complets, tient compte des plaintes de l’assuré et ses conclusions sont motivées. Sous l’angle psychiatrique, il fait état d'un trouble de l’adaptation avec réaction dépressive prolongée, jugé sans incidence sur la capacité de travail. Sur le plan somatique, il énumère diverses limitations fonctionnelles, qui coïncident avec celles retenues par les médecins d’arrondissement. Globalement, les médecins de la CRR jugent faible le pronostic de réinsertion dans une activité adaptée, mais précisent que c’est en raison de facteurs extra-médicaux, notamment de connaissances linguistiques déficientes et de la situation socio-économique de l’assuré. C’est le lieu de rappeler que l'assurance-accidents n’a pas à répondre de la diminution de la capacité de gain due à des facteurs étrangers à l’atteinte à la santé, notamment de difficultés linguistiques et d’un manque de formation (arrêt du Tribunal fédéral des assurances U 388/01 du 2 décembre 2002 consid. 2.2). Quant à l’observation professionnelle de la CRR, elle tend à corroborer les conclusions des médecins d’arrondissement puisqu’elle conclut à une pleine capacité de travail dans une activité adaptée. Partant, le rapport de la CRR ne met pas en doute la pleine exigibilité médicale retenue par l’intimée. d. Les rapports établis par les médecins du recourant ne permettent pas d’aboutir à une autre conclusion. Celui du Dr D______ rejoint les conclusions de la CRR quant aux limitations fonctionnelles et au mauvais pronostic de réinsertion, qui résulte à son sens d’un manque de formation, de faibles connaissances linguistiques et des douleurs, soit essentiellement de facteurs étrangers à l’atteinte à la santé. Cela étant, il ne conteste pas qu’une pleine capacité de travail puisse être exigée de son patient sur le plan médical, moyennant le respect des limitations énumérées par les médecins d’arrondissement et la CRR. Quant à la Dresse O______, ses conclusions coïncident en tous points avec celles des médecins d’arrondissement, puisqu’elle expose que la mobilité du genou gauche est complète, que l’état de santé est stabilisé et que l’assuré peut exercer à plein temps une profession physiquement peu astreignante. e. S’agissant du rapport établi à l’issue du stage d’observation professionnelle de l’AI, ses constatations divergent certes de celles des médecins d’arrondissements et de la Dresse O______ dans la mesure où il relate que l’état de santé n’est pas stabilisé et que la résistance de l’assuré semble insuffisante pour une activité à plein-temps. Cette divergence n’est toutefois pas propre à remettre en cause l'avis concordant des médecins, conformément au principe jurisprudentiel selon lequel les données médicales - lesquelles permettent généralement une appréciation objective du cas - l'emportent sur les constatations faites à l'occasion d'un stage d'observation</w:t>
      </w:r>
    </w:p>
    <w:p>
      <w:r>
        <w:t>A/1237/2015 - 18/23 - professionnelle, qui sont susceptibles d'être influencées par des éléments subjectifs liés au comportement de l'assuré (arrêts du Tribunal fédéral 9C_631/2007 du 4 juillet 2008 consid. 4. 1 ; I 573/04 du 10 novembre 2005 consid. 4). f. Au vu de ce qui précède, il sera retenu, au degré de la vraisemblance prépondérante, que l’assuré est médicalement capable d’exercer à 100% une activité légère respectant les limitations retenues par les Drs J______ et N______. Que l’assuré ait échoué à reprendre à 100% une activité de contrôleur de chantier ne met pas en doute cette exigibilité, dès lors que l’activité en question, qui implique vraisemblablement une position debout statique et des déplacements importants, n’est pas adaptée aux limitations énoncées.</w:t>
      </w:r>
    </w:p>
    <w:p>
      <w:r>
        <w:rPr>
          <w:b/>
        </w:rPr>
        <w:t>E. 12</w:t>
      </w:r>
    </w:p>
    <w:p>
      <w:r>
        <w:t>Il convient à présent d'examiner le calcul du degré d’invalidité auquel a procédé l’intimée. a. À titre liminaire, il sied de relever que la décision de l’assurance-invalidité n’était pas entrée en force au moment où l’intimée a statué, de sorte qu’il lui était loisible de procéder de manière indépendante à l’évaluation du degré d’invalidité. Cela n’est pas contesté. b. Pour calculer le degré d’invalidité, il convient de se placer au moment de la naissance du droit à la rente (ATF 129 V 222). En l’occurrence, l’intimée a déterminé que le droit à la rente débutait au 1er septembre 2014, ce qui n’est à juste titre pas contesté par l’assuré : on peut effectivement inférer des rapports médicaux émanant notamment des Drs N______ et O______ qu’au 1er septembre 2014, son état de santé était stabilisé. Il convient donc de se placer en 2014 pour procéder à la comparaison des revenus. c. La décision querellée fixe le revenu sans invalidité à CHF 66'480.- en 2014 sur la base du questionnaire rempli par l’employeur. Le recourant se prévaut d’un revenu sans invalidité de CHF 65'871.-, plus bas que celui retenu par l’intimée. On peut en inférer qu’il ne conteste pas le revenu sans invalidité de CHF 66'480.-, qui lui est plus favorable ; il n’y a donc pas lieu de s’en écarter. d. Quant au revenu d’invalide, l’intimée s’est basée sur un montant de CHF 66’158.- pour 2014 en se référant à l’ESS 2012 (tableau TA1, niveau 1, homme, adapté à la durée normale du travail de 41,7 h./sem. et indexé jusqu’en 2014), duquel elle a déduit 15% au vu de « l’ensemble des circonstances », aboutissant ainsi à un revenu final de CHF 56’235.-. La recourant ne conteste pas la fixation de son revenu d’invalide sur une base statistique mais critique l’abattement retenu, dont il soutient qu’il aurait dû s’élever à 25% au vu de ses limitations fonctionnelles et de ses limitations « non médicales ».</w:t>
      </w:r>
    </w:p>
    <w:p>
      <w:r>
        <w:t>A/1237/2015 - 19/23 - La Cour constate que le salaire statistique sur lequel s’est fondé l’intimée est celui applicable aux assurés dont le niveau de qualification est le plus bas, de sorte qu’il est déjà suffisamment représentatif de ce que l’assuré pourrait gagner dans une activité légère n'exigeant ni formation ni connaissances linguistiques particulières (arrêts du Tribunal fédéral I 171/04 consid. 4.2 et 9C_242/2012 consid. 3). Son âge – 44 ans lors du prononcé de la décision litigieuse – ne peut pas être considéré comme un facteur le contraignant à mettre en valeur sa capacité résiduelle de travail à des conditions économiques inférieures à la moyenne, pas plus que sa nationalité étrangère, attendu qu’il est titulaire d’une autorisation d’établissement et que les salaires statistiques sont établis en fonction de la population résidente aussi bien suisse qu'étrangère (arrêt du Tribunal fédéral des assurances I 700/04, consid. 4.3.3). Finalement, au regard des circonstances personnelles et professionnelles du cas d’espèce, on doit admettre que l’intimée est restée dans les limites de son pouvoir d’appréciation en appliquant une réduction supplémentaire limitée à 15%. Le Tribunal fédéral a d’ailleurs confirmé des taux identiques voire inférieurs dans des causes impliquant des assurés d’âge moyen dont les limitations étaient comparables à celles du recourant (cf. notamment arrêts I 264/05 consid. 5 ; I 298/04 consid. 5 ; 8C_910/2010 consid. 6.3). Pour le reste, le recours de l’intimée aux données statistiques résultant de l’ESS 2012 n’apparaît pas critiquable, eu égard à la date à laquelle elle a statué et à l’année déterminante en l’occurrence pour la comparaison des revenus de l’assurance-accidents. e. La comparaison des gains conduit à un degré d’invalidité de 15,4% (66'480 – 56’235) / 66'480), qu’il convient d’arrondir à 15% (ATF 130 V 121 consid. 3.2). Il en découle que le recourant n’a droit qu’à une rente d’invalidité de quotité équivalente. Partant, ses conclusions tendant au versement d’une rente supérieure sont rejetées.</w:t>
      </w:r>
    </w:p>
    <w:p>
      <w:r>
        <w:rPr>
          <w:b/>
        </w:rPr>
        <w:t>E. 13</w:t>
      </w:r>
    </w:p>
    <w:p>
      <w:r>
        <w:t>Reste à examiner le taux de l’indemnité pour atteinte à l’intégrité, dont le recourant soutient qu’il devrait être fixé à 30% plutôt qu’à 12,5%. a. À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Selon l'art. 36 de l'ordonnance sur l'assurance-accidents (OLAA; RS 832.202), une atteinte à l'intégrité est réputée durable lorsqu'il est prévisible qu'elle subsistera avec au moins la même gravité, pendant toute la vie. Elle est réputée importante lorsque l'intégrité physique,</w:t>
      </w:r>
    </w:p>
    <w:p>
      <w:r>
        <w:t>A/1237/2015 - 20/23 -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Lors de la fixation de l'indemnité, il sera équitablement tenu compte des aggravations prévisibles de l’atteinte à l’intégrité (al. 4). De jurisprudence constante, cette règle ne vise toutefois que les aggravations dont la survenance est vraisemblable et l'importance quantifiable (arrêt du Tribunal fédéral 8C_494/2014 consid. 6.2; RAMA 1998 n° U 320 p. 602 consid. 3b). L'indemnité allouée pour les atteintes à l'intégrité désignées à l'annexe 3 à l'OLAA s'élève, en règle générale, au pourcentage indiqué du montant maximum du gain assuré. Pour les atteintes à l'intégrité spéciales ou qui ne figurent pas dans la liste, comme c’est le cas dans la présente cause, le barème est appliqué par analogie, compte tenu de la gravité de l'atteinte (ch. 1).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ATF non publié 8C_459/2008 du 4 février 2009, consid. 2.1.2).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Ainsi, l'amputation d'un index donne lieu à la même indemnité pour un employé de bureau et pour un guitariste (Jean- Maurice FRÉSARD / Margit MOSER-SZELESS, L'assurance-accidents obligatoire in Schweizerisches Bundesverwaltungsrecht [SBVR], 2ème éd., 2007, n. 229).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w:t>
      </w:r>
    </w:p>
    <w:p>
      <w:r>
        <w:t>A/1237/2015 - 21/23 - l'atteinte à l'intégrité en résultant (FRÉSARD/MOSER-SZELESS, op. cit., n. 235; ATF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 b. En l’espèce, le Dr J______ a évalué l’atteinte à l’intégrité en se référant aux tables d’indemnisation nos 1 et 5 de la SUVA : il a retenu un taux de 10% correspondant à une arthrose fémoro-tibiale de gravité moyenne – en tenant compte de l’évolution prévisible à moyen terme –, auquel il a ajouté 2,5% pour une atteinte sensitive séquellaire à la lésion du nerf sciatique poplité externe. c. La Cour constate que la table d’indemnisation 1 de la SUVA se rapporte aux troubles des membres supérieurs alors que l’assuré est touché au genou gauche. Par conséquent, seule la table 5 est pertinente en l’espèce pour fixer le taux de l’indemnité qui lui est due. En vertu de celle-ci, une arthrose fémoro-tibiale de gravité moyenne donne lieu à une indemnité comprise entre 5 et 15%. Il est précisé que si l’articulation considérée présente une instabilité en plus de l’arthrose, on retient le taux d’atteinte à l’intégrité le plus élevé. Tel ne doit pas être le cas en l’espèce puisqu’aucun médecin ne fait état d’une instabilité résiduelle particulière. Le taux global de 12,5% pris en compte par l’intimée pour l’arthrose fémoro-tibiale moyenne et l’atteinte sensitive du nerf sciatique poplité externe s’inscrit dans la frange haute de la fourchette prévue par les tables d’indemnisations et paraît donc admissible. Les arguments soulevés par le recourant pour justifier l’octroi d’une indemnité de 30% sont dénués de pertinence. Il se borne pour l’essentiel à alléguer l’importance « considérable » de ses douleurs et de ses limitations fonctionnelles, sans faire état d’un quelconque élément médical qui justifierait que l’on tienne compte d’un taux supérieur. Ce faisant, il méconnaît que l’indemnité pour atteinte à l’intégrité n’est pas fixée en fonction des circonstances particulières du cas, mais d’une évaluation médico-théorique de l’atteinte, abstraction faite de facteurs subjectifs. De plus, le Dr J______ a évalué l’atteinte à l’intégrité à l’issue d’un examen clinique complet, donc en connaissance de ses limitations. Par ailleurs, s'il y a lieu, lors du calcul de l'indemnité pour atteinte à l'intégrité, de tenir équitablement compte d'une aggravation prévisible de l'atteinte à l'intégrité, cette règle ne vise toutefois que les aggravations dont la survenance est vraisemblable et l'importance quantifiable (RAMA 1998, p. 602 consid. 3b). Or, tel n'est pas le cas de la prothèse à laquelle le recourant fait allusion : bien que le Dr J______ ait précisé que le taux de l’indemnité pourrait être réévalué en cas d’évolution vers une pan-gonarthrose ou d’une prothèse du genou, force est de constater qu’aucun rapport ne fait état d’une dégénérescence de l’arthrose qui justifierait l’installation d’une prothèse à long terme. Le Dr D______ note d’ailleurs dans son dernier rapport que son bilan radiographique n’objective « pas de signes</w:t>
      </w:r>
    </w:p>
    <w:p>
      <w:r>
        <w:t>A/1237/2015 - 22/23 - arthrosiques radiographiques » et que le capital chondral et méniscal du genou reste bon. Il n’est donc pas établi au degré de vraisemblance requis que l’arthrose du recourant, apparemment modérée, nécessitera un jour l’installation d’une prothèse. Quant au diagnostic psychiatrique retenu par la CRR, il n’est pas en lien de causalité adéquat avec l’accident, comme on l’a vu, de sorte que l’on ne peut pas en tenir compte pour évaluer la quotité de l’indemnité pour atteinte à l’intégrité. En définitive, c’est à juste titre que l’intimée a évalué le taux de l’indemnité pour atteinte à l’intégrité à 12,5%. Les conclusions du recourant tendant à l’octroi d’une indemnité supérieure de 30% sont rejetées.</w:t>
      </w:r>
    </w:p>
    <w:p>
      <w:r>
        <w:rPr>
          <w:b/>
        </w:rPr>
        <w:t>E. 14</w:t>
      </w:r>
    </w:p>
    <w:p>
      <w:r>
        <w:t>La documentation médicale figurant au dossier permet à la Chambre de céans de statuer en connaissance de cause sur le droit du recourant à une rente d’invalidité et à une indemnité pour atteinte à l’intégrité. Partant, il n’y a pas lieu d’ordonner de mesure d’instruction complémentaire, notamment sous la forme d’une expertise judiciaire, par appréciation anticipée des preuves.</w:t>
      </w:r>
    </w:p>
    <w:p>
      <w:r>
        <w:rPr>
          <w:b/>
        </w:rPr>
        <w:t>E. 15</w:t>
      </w:r>
    </w:p>
    <w:p>
      <w:r>
        <w:t>Mal fondé, le recours est rejeté. Le recourant, qui succombe, n’a pas droit à une indemnité de dépens (art. 89H al. 3 LPA a contrario). Pour le surplus, la procédure est gratuite (art. 89H al. 4 LPA).</w:t>
      </w:r>
    </w:p>
    <w:p>
      <w:r>
        <w:t>A/1237/2015 - 23/23 -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