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ATAS/652/2008 vom 29. Mai 2008</w:t>
      </w:r>
    </w:p>
    <w:p>
      <w:r>
        <w:t>GE Cour de justice, 2008-05-29, FR</w:t>
      </w:r>
    </w:p>
    <w:p>
      <w:r>
        <w:rPr>
          <w:b/>
        </w:rPr>
        <w:t xml:space="preserve">Quelle: </w:t>
      </w:r>
      <w:r>
        <w:t>https://mcp.opencaselaw.ch/entscheid/ge_gerichte_ATAS_652_2008</w:t>
      </w:r>
    </w:p>
    <w:p>
      <w:r>
        <w:t>FR: GE_GERICHTE ATAS/652/2008 du 29 mai 2008</w:t>
      </w:r>
    </w:p>
    <w:p>
      <w:r>
        <w:t>IT: GE_GERICHTE ATAS/652/2008 del 29 maggio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1.2</w:t>
      </w:r>
    </w:p>
    <w:p>
      <w:r>
        <w:t>; 169 consid. 1 ; 356 consid. 1 et les arrêts cités). Dans la mesure où</w:t>
      </w:r>
    </w:p>
    <w:p>
      <w:r>
        <w:t>A/2776/2005 - 13/21 - l'événement s'est produit en janvier 2002, ces principes de droit intertemporel commandent l'examen du bien-fondé de la décision sur opposition du 24 mai 2005 à la lumière des anciennes dispositions de la LAA pour la période s'étendant jusqu'au 31 décembre 2002 et, le cas échéant, au regard des nouvelles dispositions de la LPGA pour la période postérieure (voir ATF 130 V 332 consid. 2.2 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2</w:t>
      </w:r>
    </w:p>
    <w:p>
      <w:r>
        <w:t>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w:t>
      </w:r>
    </w:p>
    <w:p>
      <w:r>
        <w:rPr>
          <w:b/>
        </w:rPr>
        <w:t>E. 3</w:t>
      </w:r>
    </w:p>
    <w:p>
      <w:r>
        <w:t>Interjeté dans les formes et délai légaux, le recours est recevable à la forme (art. 106 LAA dans sa teneur en vigueur depuis le 1er janvier 2003, en dérogation à l’art. 60 LPGA).</w:t>
      </w:r>
    </w:p>
    <w:p>
      <w:r>
        <w:rPr>
          <w:b/>
        </w:rPr>
        <w:t>E. 4</w:t>
      </w:r>
    </w:p>
    <w:p>
      <w:r>
        <w:t>a) Est litigieuse la question de savoir si les troubles présentés par la recourante peuvent ouvrir droit à une rente d'invalidité de l'assurance-accidents de plus de 54% dès le 1er juillet 2004.</w:t>
      </w:r>
    </w:p>
    <w:p>
      <w:r>
        <w:t>b)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119 V 470 consid. 2b, 116 V 249 consid. 1b et les arrêts cités; ATFA non publiés du 16 juin 2005, I 425/04 et U 174/04). En l'occurrence, cependant, l'assurance- invalidité a octroyé à la recourante une rente entière basée sur une affection psychiatrique sans lien de causalité avec l'accident de janvier 2002.</w:t>
      </w:r>
    </w:p>
    <w:p>
      <w:r>
        <w:t>c) L'art. 6 al. 1 LAA prévoit que, sauf disposition contraire, les prestations d'assurance, y compris les frais de cures prescrites par un médecin (art. 10 al. 1 let. c LAA), sont allouées en cas d'accident professionnel, d'accident non professionnel et de maladie professionnelle.</w:t>
      </w:r>
    </w:p>
    <w:p>
      <w:r>
        <w:t>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w:t>
      </w:r>
    </w:p>
    <w:p>
      <w:r>
        <w:t>A/2776/2005 - 14/21 -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w:t>
      </w:r>
    </w:p>
    <w:p>
      <w:r>
        <w:t>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w:t>
      </w:r>
    </w:p>
    <w:p>
      <w:r>
        <w:t>A/2776/2005 - 15/21 - août 2000, U 4/00; cf. également DEBRUNNER/RAMSEIER, Die Begutachtung von Rückenschäden, Berne 1980, p. 54 ss, en particulier p. 56).</w:t>
      </w:r>
    </w:p>
    <w:p>
      <w:r>
        <w:t>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FRESARD, L'assurance-accidents obligatoire, in : Schweizerisches Bundesverwaltungsrecht [SBVR], Soziale Sicherheit, p. 16).</w:t>
      </w:r>
    </w:p>
    <w:p>
      <w:r>
        <w:t>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w:t>
      </w:r>
    </w:p>
    <w:p>
      <w:r>
        <w:t>A/2776/2005 - 16/21 -</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5</w:t>
      </w:r>
    </w:p>
    <w:p>
      <w:r>
        <w:t>En l'occurrence, le Tribunal de céans a confié au Dr O________, neurochirurgien, un mandat d’expertise ayant notamment pour but de se prononcer sur l’existence d’un lien de causalité naturelle entre les atteintes lombaires et celles du genou. Les conclusions du Dr O________ ont cependant été contredites de manière convaincante par le Dr N________, qui a formulé différentes remarques pertinentes. S'agissant du lien entre les troubles du genou et ceux du dos, soit des répercussions des troubles du genou sur ceux du dos, le Dr O________ explique "il n'est pas clair pourquoi les problèmes lombaires auraient dû se manifester plus tôt pour pouvoir être mis en rapport avec le problème du membre inférieur droit ; en effet, l'atteinte dégénérative lombaire est un processus progressif qui continue à évoluer, et si, à un moment donné, l'atteinte n'était pas assez importante pour donner lieu à des symptômes en cas d'une mise sous charge viciée par le problème du genou droit, cela a très bien pu se produire à un moment ultérieur, quand le seuil de</w:t>
      </w:r>
    </w:p>
    <w:p>
      <w:r>
        <w:t>A/2776/2005 - 17/21 - susceptibilité des structures lombaires aurait atteint le niveau adéquat". Il se réfère ensuite à de la doctrine médicale, qui n'est d'aucune aide au Tribunal de céans, dans la mesure où il doit se prononcer sur le cas concret et non pas sur la base de considérations générales et théoriques. L'expert O________ expose ensuite que ces références médicales ne font que "confirmer l'impression qui semblait être une simple question de bon sens : les limitations fonctionnelles imposées par le douleur et l'instabilité lombaire, à savoir un ménagement et une protection des segments incompétents du rachis lombaire par "le corset musculaire", sont gênées, du moins de façon partielle, en cas de limitation fonctionnelle douloureuse d'un genou. Cela expose le rachis du patient à des sollicitations mécaniques douloureuses à leur tour". Répondant aux questions posées, ce médecin explique que "cet accident, par la gêne fonctionnelle importante du genou droit qu'il a entraîné, a toutefois créé un environnement défavorable qui, pour les raisons expliquées dans la discussion (…) peut provoquer une aggravation de la symptomatologie (…) [et] peut, à la longue, provoquer une accélération de la progression naturelle de l'atteinte dégénérative lombaire avec instabilité". Sur cette base, l'expert conclut que l'on doit admettre l'existence d'un lien de causalité probable avec un degré de vraisemblance prépondérante. Le Tribunal de céans ne peut cependant adhérer aux conclusions du Dr O________ s'agissant de la causalité probable. En effet, les éléments mêmes sur lesquels repose sa conclusion ne relèvent que du domaine du possible et il convient au contraire d'en tirer la conclusion que le lien de causalité entre les troubles du genou et l'aggravation des troubles lombaires n'est pas établi au degré de vraisemblance prépondérante requis en matière d'assurances sociales. Ainsi, la conclusion motivée par une question de "bon sens" n'est nullement convaincante. Quant au reste des explications apportées, il n'est pas non plus de nature à fonder la conviction du Tribunal de céans quant à la probabilité du lien de causalité, l'expert utilisant expressément le verbe "pouvoir" pour expliquer les éventuelles répercussions de l'accident du genou sur l'aggravation de la symptomatologie lombaire. Quant aux références médicales, elles ne sont d'aucun secours au Tribunal de céans pour établir l'existence d'un lien de causalité. Par ailleurs, ainsi que l’a relevé le Dr N________, l'expert O________ n'a pas expliqué pourquoi si les troubles des genoux, eux-mêmes anciens, ont eu un effet délétère sur l'atteinte lombaire, celui-ci ne s'est pas manifesté bien avant 2002. Sur ce point, l'expert O________ déclare uniquement que la raison pour laquelle les problèmes lombaires ne se sont pas manifestés plus tôt n'est pas claire. Il avance comme explication que les altérations dégénératives sont un processus lent et progressif. Or, selon le Dr N________, les altérations auraient dû devenir</w:t>
      </w:r>
    </w:p>
    <w:p>
      <w:r>
        <w:t>A/2776/2005 - 18/21 - douloureuses dès leur stade précoce en charge unilatérale, car la claudication due à la décharge et à la marche avec des béquilles devait alors certainement être plus marquée et forcée. Cependant, aucun problème de dos n'a alors été signalé. Cette explication convainc le Tribunal de céans qui estime que l'expert O________ n'a pas démontré de façon motivée pourquoi l'aggravation des douleurs lombaires est apparue si tardivement. Ainsi, sur le vu de l'expertise du Dr O________, le lien de causalité naturelle entre les troubles du genou, soit entre l'accident de janvier 2002, et l'atteinte lombaire apparaît tout au plus possible et non probable.</w:t>
      </w:r>
    </w:p>
    <w:p>
      <w:r>
        <w:t>En conclusion, le Tribunal de céans constate que l'expertise du Dr O________ ne parvient pas à prouver avec la vraisemblance prépondérante requise qu'il existe un lien de causalité probable entre les problèmes de genou de la recourante et ses altérations dégénératives marquées du rachis, entraînant des douleurs lombovertébrales. Dès lors, la SUVA n'a pas à prendre en charge les incapacités de travail ou fonctionnelles liées aux troubles du dos.</w:t>
      </w:r>
    </w:p>
    <w:p>
      <w:r>
        <w:rPr>
          <w:b/>
        </w:rPr>
        <w:t>E. 6</w:t>
      </w:r>
    </w:p>
    <w:p>
      <w:r>
        <w:t>a) Il convient à présent de procéder à la comparaison des revenus avant et après invalidité, afin de déterminer le degré d’invalidité de la recourante liée à ses troubles du genou. En effet, le Tribunal de céans constate que selon les Drs M_________ et N________ et les médecins de la Clinique romande de réadaptation, l’assurée présente une capacité résiduelle de travail entière dans un poste adapté à ses problèmes de genou.</w:t>
      </w:r>
    </w:p>
    <w:p>
      <w:r>
        <w:t>b) Selon l'art. 18 LAA, dans sa teneur en vigueur depuis le 1er janvier 2003, si l'assuré est invalide à 10% au moins par suite d'un accident, il a droit à une rente d'invalidité (al.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w:t>
      </w:r>
    </w:p>
    <w:p>
      <w:r>
        <w:t>c)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w:t>
      </w:r>
    </w:p>
    <w:p>
      <w:r>
        <w:t>d) Quant au revenu de l'activité raisonnablement exigible, il doit être déterminé en se référant aux conditions d'un marché du travail équilibré et structuré offrant un éventail d'emplois diversifiés. Il s'agit donc d'une notion théorique (FRÉSARD,</w:t>
      </w:r>
    </w:p>
    <w:p>
      <w:r>
        <w:t>A/2776/2005 - 19/21 - L'assurance-accidents obligatoire, in: Schweizerisches Bundesverwaltungsrecht [SBVR], Soziale Sicherheit, Bâle, 1998, no 77). Lorsque l'assuré ne reprend pas d'activité lucrative, la comparaison peut se faire au moyen de tabelles statistiques publiées par l'Office fédéral de la statistique (ATF 126 V 76 consid. 3a/bb et les références) ou de données salariales résultant de descriptions de postes de travail (ATF 129 V 472), les DPT de la CNA n'ayant pas de valeur prépondérante par rapport aux données statistiques (RAMA 1999 U 343 consid. 4b/aa, p. 412). S'agissant des statistiques, on se référera aux salaires bruts standardisés, en se fondant toujours sur la médiane ou valeur centrale (ATF 124 V 321),</w:t>
      </w:r>
    </w:p>
    <w:p>
      <w:r>
        <w:t>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t>f)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w:t>
      </w:r>
    </w:p>
    <w:p>
      <w:r>
        <w:t>g) Aux termes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La rente est allouée pour tout le mois au cours duquel ledit droit est né. En vertu de l’art. 15 al. 2 LAA, seconde phrase, est déterminant pour le calcul des rentes le salaire que l’assuré a gagné durant l’année qui a précédé l’accident.</w:t>
      </w:r>
    </w:p>
    <w:p>
      <w:r>
        <w:rPr>
          <w:b/>
        </w:rPr>
        <w:t>E. 7</w:t>
      </w:r>
    </w:p>
    <w:p>
      <w:r>
        <w:t>En l’espèce, l’année déterminante pour la comparaison des revenus est l’année 2004, puisque le droit à la rente débute le 1er juillet 2004. Il convient de préciser qu'il ne s'agit pas d'une rente transitoire puisque l'OCAI s'est prononcé sur le droit à la rente de la recourante, basée sur des motifs psychiatriques sans relation avec l'accident. Enfin le Tribunal de céans relèvera que les DPT sont contestées et qu'il se référera dès lors aux salaires statistiques pour déterminer le gain après invalidité, un certain nombre d'activités ne requérant pas de formation professionnelle et étant adaptées aux limitations fonctionnelles de l'assurée.</w:t>
      </w:r>
    </w:p>
    <w:p>
      <w:r>
        <w:t>A/2776/2005 - 20/21 -</w:t>
      </w:r>
    </w:p>
    <w:p>
      <w:r>
        <w:t>S'agissant du revenu sans invalidité, il s'élevait en 2001 à 109'960 fr. selon une déclaration de l'employeur du 13 mars 2003. Réévalué en fonction de l'évolution des salaires des femmes en 2004, il est porté à 115'592 fr. 60.</w:t>
      </w:r>
    </w:p>
    <w:p>
      <w:r>
        <w:t>Pour le revenu après invalidité, compte tenu de l’activité adaptée au handicap de la recourante (activité faisant alterner les positions assises et debout), le salaire statistique de référence est celui auquel peuvent prétendre les femmes effectuant des activités simples et répétitives en 2002, à savoir 3'893 fr. par mois ou 46'716 fr. par an (ESS 2004, tableau TA1, niveau de qualification 4). Comme les salaires bruts standardisés tiennent compte d'un horaire de travail de quarante heures, soit une durée hebdomadaire inférieure à la moyenne usuelle dans les entreprises (41,6 heures en 2004; cf. La Vie économique tableau B 9.2), ce montant doit être porté à 48'584 fr. 65. Compte tenu des limitations que présente la recourante, un abattement de 15% selon la jurisprudence se justifie, ce qui porte le revenu après invalidité à 41'296 fr. 95. Il est relevé que la recourante ne bénéficie pas d'une formation professionnelle, ayant appris sa profession "sur le tas", raison pour laquelle il sera tenu compte de la catégorie des salaires sans qualification.</w:t>
      </w:r>
    </w:p>
    <w:p>
      <w:r>
        <w:t>Ainsi, si l’on compare ce montant avec le revenu sans invalidité ([115'592 fr. 60 – 41'296 fr. 95] x 100 / 115'592 fr. 60), l’on obtient un degré d’invalidité de 64,27 %.</w:t>
      </w:r>
    </w:p>
    <w:p>
      <w:r>
        <w:rPr>
          <w:b/>
        </w:rPr>
        <w:t>E. 8</w:t>
      </w:r>
    </w:p>
    <w:p>
      <w:r>
        <w:t>Partant, la recourante a droit à une rente d'invalidité LAA basée sur un degré d'invalidité de 64,27 % dès le 1er juillet 2004.</w:t>
      </w:r>
    </w:p>
    <w:p>
      <w:r>
        <w:t>Obtenant partiellement gain de cause, elle aura également droit à des dépens fixés à 1'800 fr.</w:t>
      </w:r>
    </w:p>
    <w:p>
      <w:r>
        <w:t>A/2776/2005 - 21/21 -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