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ATAS/651/2009 vom 22. Mai 2009</w:t>
      </w:r>
    </w:p>
    <w:p>
      <w:r>
        <w:t>GE Cour de justice, 2009-05-22, FR</w:t>
      </w:r>
    </w:p>
    <w:p>
      <w:r>
        <w:rPr>
          <w:b/>
        </w:rPr>
        <w:t xml:space="preserve">Quelle: </w:t>
      </w:r>
      <w:r>
        <w:t>https://mcp.opencaselaw.ch/entscheid/ge_gerichte_ATAS_651_2009</w:t>
      </w:r>
    </w:p>
    <w:p>
      <w:r>
        <w:t>FR: GE_GERICHTE ATAS/651/2009 du 22 mai 2009</w:t>
      </w:r>
    </w:p>
    <w:p>
      <w:r>
        <w:t>IT: GE_GERICHTE ATAS/651/2009 del 22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Le recours interjeté respectant les forme et délai prévus par la loi (art. 56 à 60 LPGA), il y a lieu de le déclarer recevable.</w:t>
      </w:r>
    </w:p>
    <w:p>
      <w:r>
        <w:rPr>
          <w:b/>
        </w:rPr>
        <w:t>E. 3</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celle, le 1er janvier 2004, des modifications de la LAI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w:t>
      </w:r>
    </w:p>
    <w:p>
      <w:r>
        <w:t>A/3486/2008 - 11/18 -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4</w:t>
      </w:r>
    </w:p>
    <w:p>
      <w:r>
        <w:t>Le présent litige porte sur la question de savoir si la recourante devrait se voir accorder une rente entière au-delà du 28 février 2007, plus particulièrement sur son statut, le revenu d’invalide retenu, le degré d’empêchement dans l’exercice des tâches ménagères et le degré d'invalidité global.</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28 al. 1 LAI dans sa teneur en vigueur jusqu'au 31 décembre 2003, l'assuré a droit à une rente entière s'il est invalide à 66 2/3 % au moins, à une demi- 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 quarts de rente à l'assuré dont le degré d'invalidité atteint 60 %, alors que le taux ouvrant droit à une rente entière est passé de 66 à 70 %.</w:t>
      </w:r>
    </w:p>
    <w:p>
      <w:r>
        <w:t>A/3486/2008 - 12/18 -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w:t>
      </w:r>
    </w:p>
    <w:p>
      <w:r>
        <w:t>A/3486/2008 - 13/18 -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a) Pour établir la capacité de travail de la recourante, l'OCAI s'est fondé sur une expertise conduite par les docteurs H__________ et I_________, qui ont conclu à une capacité de travail de 50% dans l’activité précédemment exercée, avec une diminution de rendement supplémentaire de 20%. La recourante ne conteste pas véritablement cette évaluation. Au demeurant, les conclusions des experts apparaissent convaincantes. Bien motivées et rendues au terme d’un rapport d’examen fouillé, détaillé et bien argumenté, elles sont qui plus est corroborées par les conclusions du Dr G__________, sur le plan psychiatrique, et celles du Dr E__________, sur le plan physique. C’est donc à juste titre que l’intimé a retenu une capacité de travail de 50%, avec une diminution de rendement de 20% dans l’activité exercée jusqu’alors, qui apparaît adaptée aux limitations de la recourante. En réalité, la recourante soutient que la capacité de travail résiduelle qui lui est ainsi reconnue est si amoindrie qu’on ne devrait plus exiger d’elle qu’elle exerce la moindre activité lucrative. C’est oublier l’obligation de réduire le dommage qui incombe à tout assuré. Selon ce principe, un assuré doit, avant de requérir des prestations de l'assurance-invalidité, entreprendre de son propre chef tout ce qu'on peut raisonnablement attendre de lui pour atténuer le mieux possible les conséquences de son invalidité. L’argumentation de la recourante – qui fait d’ailleurs la confusion entre degré d’invalidité et capacité de travail – ne saurait être suivie. On retiendra donc une capacité résiduelle de travail de 50%, avec diminution de rendement de 20% dans la sphère professionnelle.</w:t>
      </w:r>
    </w:p>
    <w:p>
      <w:r>
        <w:t>A/3486/2008 - 14/18 -</w:t>
      </w:r>
    </w:p>
    <w:p>
      <w:r>
        <w:rPr>
          <w:b/>
        </w:rPr>
        <w:t>E. 7</w:t>
      </w:r>
    </w:p>
    <w:p>
      <w:r>
        <w:t>a) La recourante conteste également le degré d’invalidité retenu dans la sphère ménagère. Elle explique être en effet complètement absorbée par ses TOC, lesquels l’empêchent d’assumer les travaux ménagers courants. Elle consacre toute son énergie à des tâches inutiles et ne parvient pas à assumer le nécessaire. A cet égard, elle se réfère au rapport du Dr A__________. Ainsi que l’a rappelé l’intimé, en cas d’atteinte à la santé psychique, l’enquête sur les activités ménagères est un moyen de preuve approprié pour évaluer l’invalidité, à moins que les résultats de cette enquête ne divergent des constatations d’ordre médical relatives à la capacité d’accomplir les travaux habituels; dans ce cas, ces dernières ont en règle générale plus de poids que l’enquête à domicile. b) En l’espèce, s’il est vrai que l’enquêtrice n’a pu se rendre au domicile de l’assurée, elle a toutefois rempli le questionnaire sur la base des indications données par cette dernière. L’enquêtrice, sur la base de ces informations, a établi une description détaillée des conditions de vie de la recourante et de ses activités et analysé de manière circonstanciée les tâches que cette dernière ne peut plus accomplir. Qui plus est, ses conclusions apparaissent corroborées par les indications du Dr A__________. Il est admis que le TOC de la recourante perturbe sa vie et celle de sa famille. Le Dr A__________ a expliqué que les troubles décrits par la patiente et son mari, vus conjointement, débutent dès le début de la journée et concernent surtout la propreté, qu’ils se traduisent par des nettoyages répétés, jamais suffisants, des vérifications et des re-nettoyages qui occupent presque toute la matinée, que l’assurée ne parvient parfois pas même à faire le repas et c’est son mari qui doit s’en charger, tout comme des achats. Tant le Dr K_________ que le Dr H__________ ont cependant précisé que le TOC de la recourante occupait cette dernière environ deux heures par jour. Etant rappelé que l’entourage de l’assurée est tenu de lui apporter son aide, le taux d’empêchement de 50% retenu par l’enquêtrice dans la sphère ménagère apparaît ainsi cohérent au vu des avis des médecins. Qui plus est, les descriptions de chacun des moments de l’activité ménagère par l’enquêtrice correspondent aux limitations décrites tant par les médecins que par la recourante et son époux. Il n’y a donc pas lieu de s’en écarter.</w:t>
      </w:r>
    </w:p>
    <w:p>
      <w:r>
        <w:rPr>
          <w:b/>
        </w:rPr>
        <w:t>E. 8</w:t>
      </w:r>
    </w:p>
    <w:p>
      <w:r>
        <w:t>a) Se pose à présent la question de savoir quel statut il convient d'accorder à l'assurée. L'intimé a considéré qu'elle devait être qualifiée de personne active à mi- temps, ce que l'intéressée conteste dans son mémoire de recours. Elle fait valoir qu’en bonne santé, elle aurait travaillé à plein temps. b)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w:t>
      </w:r>
    </w:p>
    <w:p>
      <w:r>
        <w:t>A/3486/2008 - 15/18 - décidera que l'assuré appartient à l'une ou l'autre de ces trois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Il convient également de s'inspirer de la définition de la personne non active donnée à l'art. 28 al. 2 bis LAI, selon laquelle est considérée comme non active la personne qui n'exerce pas d'activité lucrative et dont on ne peut raisonnablement exiger d'elle qu'elle en exerce une. c) En l'espèce, il est constant que la recourante a exercé son activité lucrative à mi- temps depuis plusieurs années. Il ressort en effet de l’extrait du rassemblement de ses comptes individuels AVS que son revenu annuel ne s’est jamais élevé à plus de 20'500 fr. Or, selon les documents médicaux versés au dossier, il apparaît que le TOC dont souffre la recourante n’a eu des répercussions sur son activité professionnelle qu’à compter de 2001 (cf. expertise CEMED). Si le trouble en question a donc pu jouer un rôle dans la perte de l’emploi exercé alors par la recourante chez Y__________, il n’explique pas son temps de travail partiel, puisqu’elle exerçait alors déjà son activité à mi-temps - voire moins vu la modicité des revenus réalisés plus tôt - depuis plusieurs années. Il convient d’ailleurs de relever qu’interrogée dans le cadre de l’enquête ménagère, la recourante a admis qu’en bonne santé, elle aurait travaillé à 50%. Elle a nuancé sa position en indiquant qu’en raison de l’achat d’une maison, elle aurait cherché à augmenter son taux d’occupation à 80%. Cependant, cette simple allégation ne saurait suffire à reconnaître à la recourante un statut de personne active à plus de 50%, eu égard au fait qu’elle a exercé son activité à temps partiel depuis de nombreuses années et qu’en dehors du fait que le couple a choisi de devenir propriétaire, aucun élément ne vient corroborer les dires de la recourante.</w:t>
      </w:r>
    </w:p>
    <w:p>
      <w:r>
        <w:t>A/3486/2008 - 16/18 - c) En conclusion, les griefs de la recourante relatifs à la qualification de son statut par l'intimé sont rejetés. Elle doit être considérée comme une personne active à 50% seulement.</w:t>
      </w:r>
    </w:p>
    <w:p>
      <w:r>
        <w:rPr>
          <w:b/>
        </w:rPr>
        <w:t>E. 9</w:t>
      </w:r>
    </w:p>
    <w:p>
      <w:r>
        <w:t>a) Reste donc à calculer le taux d'invalidité présenté par la recourante.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de l'éventuel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t>A/3486/2008 - 17/18 -</w:t>
      </w:r>
    </w:p>
    <w:p>
      <w:r>
        <w:rPr>
          <w:b/>
        </w:rPr>
        <w:t>E. 10</w:t>
      </w:r>
    </w:p>
    <w:p>
      <w:r>
        <w:t>a) En l’espèce, le revenu sans invalidité a été évalué à 2'500 fr. C’est en effet le dernier revenu réalisé par la recourante (cf. questionnaire rempli par le dernier employeur en juin 2005). Ce revenu n’est pas contesté, de sorte qu’il n’y a pas lieu de s’en écarter. Quant au revenu après invalidité, étant rappelé que la recourante pourrait théoriquement exercer à mi-temps son activité précédente, avec une diminution de rendement de 20%, il doit être fixé à 2'000 fr. (et non à 1'500 fr., comme l’a retenu l’intimé). La diminution de rendement porte en effet sur le mi-temps et non sur un temps complet. Il en résulte un degré d’invalidité de 20% dans la sphère professionnelle, de 40% si l’on admet une réduction supplémentaire de 20% pour tenir compte du fait que l’assurée a du mal à se déplacer seule, que son comportement pourrait diminuer ses chances de trouver un poste, et de son âge. Il y a lieu de constater que l’intimé a, de fait, appliqué cette réduction supplémentaire de 20% en retenant un revenu d’invalide de 1'500 fr. Il s’agit à présent de procéder à l’évaluation du taux d’invalidité global au moyen de la méthode mixte d’évaluation ; ce taux se détermine à l’aide de la formule suivante :</w:t>
      </w:r>
    </w:p>
    <w:p>
      <w:r>
        <w:t>E x IE + ([EZ - E] x H) EZ</w:t>
      </w:r>
    </w:p>
    <w:p>
      <w:r>
        <w:t>E = travail fourni par l’assuré avant invalidité (activité lucrative en heures par semaine) IE = handicap rencontré en tant que personne exerçant une activité lucrative en pourcent EZ = durée de travail normale des personnes exerçant une activité lucrative à plein temps dans la branche concernée, en heures par semaine H = handicap rencontré dans le ménage en pour cent.</w:t>
      </w:r>
    </w:p>
    <w:p>
      <w:r>
        <w:t>Le calcul à effectuer est donc le suivant : [20.75 x 40 + ([41.7 – 20.75] x 20)] : 41.7 = 45.02%, taux correspondant à celui retenu par l’intimé. Au vu de ce qui précède, force est de constater que le recours, mal fondé, doit être rejeté.</w:t>
      </w:r>
    </w:p>
    <w:p>
      <w:r>
        <w:t>A/3486/2008 - 18/18 -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