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ATAS/650/2025 vom 1. September 2025</w:t>
      </w:r>
    </w:p>
    <w:p>
      <w:r>
        <w:t>GE Cour de justice, 2025-09-01, FR</w:t>
      </w:r>
    </w:p>
    <w:p>
      <w:r>
        <w:rPr>
          <w:b/>
        </w:rPr>
        <w:t xml:space="preserve">Quelle: </w:t>
      </w:r>
      <w:r>
        <w:t>https://mcp.opencaselaw.ch/entscheid/ge_gerichte_ATAS_650_2025</w:t>
      </w:r>
    </w:p>
    <w:p>
      <w:r>
        <w:t>FR: GE_GERICHTE ATAS/650/2025 du 1 septembre 2025</w:t>
      </w:r>
    </w:p>
    <w:p>
      <w:r>
        <w:t>IT: GE_GERICHTE ATAS/650/2025 del 1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2023, la demande de prestations ayant été déposée en septembre 2022 (art. 28 al. 1 let. b et 29 al. 1 LAI), de sorte que les dispositions légales applicables seront citées dans leur nouvelle teneur.</w:t>
      </w:r>
    </w:p>
    <w:p>
      <w:r>
        <w:rPr>
          <w:b/>
        </w:rPr>
        <w:t>E. 1.3</w:t>
      </w:r>
    </w:p>
    <w:p>
      <w:r>
        <w:t>Interjeté en temps utile, le recours est recevable (art. 60 LPGA).</w:t>
      </w:r>
    </w:p>
    <w:p>
      <w:r>
        <w:rPr>
          <w:b/>
        </w:rPr>
        <w:t>E. 2</w:t>
      </w:r>
    </w:p>
    <w:p>
      <w:r>
        <w:t>Le litige porte sur le droit du recourant à une rente d’invalidité, singulièrement sur l’évaluation de sa capacité de travail et la question de l’aggravation de son état de santé depuis la dernière décision de l’intimé du 25 juillet 2019.</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w:t>
      </w:r>
    </w:p>
    <w:p>
      <w:r>
        <w:t>A/3630/2023 - 10/18 -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 au moins (art. 28 al. 1 LAI). Une rente n'est pas octroyée tant que toutes les possibilités de réadaptation au sens de l'art. 8 al. 1bis et 1ter n'ont pas été épuisées (art. 28 al. 1bis LAI).</w:t>
      </w:r>
    </w:p>
    <w:p>
      <w:r>
        <w:rPr>
          <w:b/>
        </w:rPr>
        <w:t>E. 3.2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3.2.1</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w:t>
      </w:r>
    </w:p>
    <w:p>
      <w:r>
        <w:t>A/3630/2023 - 11/18 - (ATF 143 V 269 consid. 6.2.3.2 et les références ; 135 V 465 consid. 4.4. et les références ; 125 V 351 consid. 3b/aa et les références).</w:t>
      </w:r>
    </w:p>
    <w:p>
      <w:r>
        <w:rPr>
          <w:b/>
        </w:rPr>
        <w:t>E. 3.2.2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w:t>
      </w:r>
    </w:p>
    <w:p>
      <w:r>
        <w:t>A/3630/2023 - 12/18 - pertinents pour remettre en cause les conclusions de l'expert (arrêt du Tribunal fédéral 8C_458/2023 du 18 décembre 2023 consid. 3.2 et la référence).</w:t>
      </w:r>
    </w:p>
    <w:p>
      <w:r>
        <w:rPr>
          <w:b/>
        </w:rPr>
        <w:t>E. 3.3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3.4</w:t>
      </w:r>
    </w:p>
    <w:p>
      <w:r>
        <w:t>Lorsque l’administration entre en matière sur une nouvelle demande, après avoir nié le droit à une prestation (art. 87 al. 3 RAI), l’examen matériel doit être effectué de manière analogue à celui d'un cas de révision au sens de l'art. 17 al. 1 LPGA (ATF 141 V 585 consid. 5.3 et les références ;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w:t>
      </w:r>
    </w:p>
    <w:p>
      <w:r>
        <w:t>A/3630/2023 - 13/18 - et complète, sans référence à des évaluations antérieures de l'invalidité (ATF 141 V 9 consid. 6.1 et les références ; arrêt du Tribunal fédéral 9C_498/2023 du 11 décembre 2023 consid. 5.1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4.2</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4.3</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w:t>
      </w:r>
    </w:p>
    <w:p>
      <w:r>
        <w:t>A/3630/2023 - 14/18 -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5</w:t>
      </w:r>
    </w:p>
    <w:p>
      <w:r>
        <w:t>En l’occurrence, la chambre de céans a diligenté une expertise judiciaire bidisciplinaire afin de déterminer si le recourant a présenté une aggravation de son état de santé depuis la dernière décision de l’intimé du 25 juillet 2019, laquelle retient une capacité de travail du recourant nulle du 1er avril 2017 au 28 février 2019 (troubles psychiatriques) et de 75% (troubles somatiques) dans une activité adaptée aux limitations fonctionnelles, depuis mars 2019. Les rapports d’expertise judiciaire, fondés sur toutes les pièces médicales du dossier, comprenant une anamnèse complète, la description des plaintes du recourant, des diagnostics clairs, un examen clinique rhumatologique et un status clinique psychiatrique, un bilan neuropsychologique, ainsi qu’une appréciation motivée de la capacité de travail du recourant, répondent aux réquisits jurisprudentiels précités pour qu’il leur soit reconnu une pleine valeur probante.</w:t>
      </w:r>
    </w:p>
    <w:p>
      <w:r>
        <w:rPr>
          <w:b/>
        </w:rPr>
        <w:t>E. 5.1</w:t>
      </w:r>
    </w:p>
    <w:p>
      <w:r>
        <w:t>Du point de vue rhumatologique, l’expert a retenu un diagnostic principal de grave fibromyalgie, lequel apparaissait dans les rapports de la Clinique de Montana du 14 décembre 2023, puis dans celui de la Dre H______ du 26 février 2024 et dans celui de la Dre S______ d’août 2024 (rapport d’expertise judiciaire rhumatologique, p. 86). La capacité de travail était de 25% dans une activité adaptée aux limitations fonctionnelles, en tous les cas depuis août 2024 (arrêt de l’activité au Bistro N______) et probablement depuis 2017-2018 (problèmes rencontrés par le recourant lors de son activité chez Genève-Roule et développement du tableau de fibromyalgie).</w:t>
      </w:r>
    </w:p>
    <w:p>
      <w:r>
        <w:t>A/3630/2023 - 15/18 - L’expert a relevé que les appréciations du SMR des 24 avril 2019, 15 août 2023 et 21 septembre 2023 d’une capacité de travail du recourant du point de vue somatique de 75% dans une activité adaptée était correcte, même si une estimation globale de la situation manquait, tout en relevant que le diagnostic de trouble dépressif récurrent, épisode actuel moyen avec syndrome somatique posé par la Clinique de Montana en décembre 2023 n’était, à l’époque de l’évaluation du SMR, pas encore apparu.</w:t>
      </w:r>
    </w:p>
    <w:p>
      <w:r>
        <w:rPr>
          <w:b/>
        </w:rPr>
        <w:t>E. 5.1.1</w:t>
      </w:r>
    </w:p>
    <w:p>
      <w:r>
        <w:t>L’intimé, à la suite du SMR, estime que le diagnostic de fibromyalgie, posé sur des éléments objectifs, peut être suivi, avec une incapacité de travail survenue en août 2024. Cette appréciation doit être suivie.</w:t>
      </w:r>
    </w:p>
    <w:p>
      <w:r>
        <w:rPr>
          <w:b/>
        </w:rPr>
        <w:t>E. 5.1.1.1</w:t>
      </w:r>
    </w:p>
    <w:p>
      <w:r>
        <w:t>Contrairement à l’avis du recourant, l’expertise du Dr P______ est suffisamment claire pour qu’il soit retenu une capacité de travail limitée du recourant à un taux de 25% dès le 1er août 2024, en raison d’une aggravation du diagnostic de fibromyalgie, ayant entrainé l’arrêt de l’activité auprès du Bistro N______. L’expert rejoint d’ailleurs l’appréciation du SMR, d’une capacité de travail du point de vue somatique, de 75% dans une activité adaptée, pour la période antérieure, étant relevé que même s’il déplore l’échec d’une évaluation globale de la situation clinique, il relève aussi que le « syndrome somatique » évoqué en décembre 2023 par la Clinique de Montana n’était pas encre apparu au moment des évaluations du SMR. Il fonde ainsi l’incapacité de travail sur ce diagnostic principal, en soulignant qu’il est apparu en décembre 2023 (rapport d’expertise judiciaire rhumatologique, pp. 96 et 99), soit à une date bien postérieure à 2017/2018 mais que l’incapacité de travail en résultant était en tous les cas présente dès août 2024. L’expert conclut ainsi à une telle incapacité de travail en tous les cas depuis août 2024 et relève une diminution de la capacité de travail atteignant « au jour de l’expertise » un taux de 25% (rapport d’expertise judiciaire rhumatologique, p. 99), ce qui indique qu’il estime l’incapacité de travail clairement établie uniquement au jour de son expertise. Enfin, comme relevé par l’intimé, la date de 2017-2018 ne correspond pas à l’activité exercée par le recourant auprès de Genève-Roule (laquelle a eu lieu en 2012-2013), ce qui ne permet pas de retenir une incapacité de travail de 25% depuis cette date.</w:t>
      </w:r>
    </w:p>
    <w:p>
      <w:r>
        <w:rPr>
          <w:b/>
        </w:rPr>
        <w:t>E. 5.1.1.2</w:t>
      </w:r>
    </w:p>
    <w:p>
      <w:r>
        <w:t>Au demeurant, le fait que l’expert cite une probable capacité de travail limitée à un taux de 25% dès 2017-2018 (rapport d’expertise judiciaire rhumatologique, p. 94) n’est pas convaincant et la date précitée doit être écartée au profit de celle du 1er août 2024. Il convient à cet égard de rappeler qu’il existe certaines constellations, comme c’est le cas en l’espèce, dans lesquelles il convient de s’écarter de l’incapacité de travail déterminée par une expertise médicale, sans que celle-ci n’en perde sa valeur probante (arrêt du Tribunal fédéral 9C_316/2017 du 5 octobre 2017). A/2394/2019 du 7 février 2022.</w:t>
      </w:r>
    </w:p>
    <w:p>
      <w:r>
        <w:t>A/3630/2023 - 16/18 -</w:t>
      </w:r>
    </w:p>
    <w:p>
      <w:r>
        <w:rPr>
          <w:b/>
        </w:rPr>
        <w:t>E. 5.2</w:t>
      </w:r>
    </w:p>
    <w:p>
      <w:r>
        <w:t>Du point de vue psychiatrique, l’experte judiciaire retient un trouble dépressif récurrent, épisode actuel moyen sans symptôme somatique, troubles mentaux et trouble du comportement lié à l’utilisation de l’alcool, syndrome de dépendance avec utilisation continue, entrainant une incapacité de travail totale du recourant, « actuellement » (rapport d’expertise judiciaire psychiatrique, point 9.1.1). La capacité de travail était nulle hors abstinence (laquelle avait existé entre 2022 et 2024). Depuis la rechute et la reprise de la consommation d’alcool (à la suite de l’arrêt de son travail), la capacité de travail était nulle (rapport d’expertise psychiatrique, point 9.2). « Actuellement », les diagnostics généraient d’importantes limitations, totalement incapacitantes (rapport d’expertise judiciaire psychiatrique, point 11.1). L’anamnèse et la symptomatologie ainsi que l’échelle de dépression MADRS montraient « actuellement » le diagnostic de trouble dépressif récurrent, épisode actuel majeur, sans syndrome somatique (rapport d’expertise judiciaire psychiatrique, point 11.2).</w:t>
      </w:r>
    </w:p>
    <w:p>
      <w:r>
        <w:rPr>
          <w:b/>
        </w:rPr>
        <w:t>E. 5.2.1</w:t>
      </w:r>
    </w:p>
    <w:p>
      <w:r>
        <w:t>L’intimé retient sur la base de cette expertise une capacité de travail nulle du recourant depuis sa rechute de consommation d’alcool en août 2024. Cette appréciation doit être suivie.</w:t>
      </w:r>
    </w:p>
    <w:p>
      <w:r>
        <w:rPr>
          <w:b/>
        </w:rPr>
        <w:t>E. 5.2.1.1</w:t>
      </w:r>
    </w:p>
    <w:p>
      <w:r>
        <w:t>Contrairement à l’avis du recourant, qui estime qu’une incapacité de travail totale pour des motifs psychiques doit être retenue au moins depuis 2022, celle-ci ne peut être déduite des conclusions de l’expertise judiciaire psychiatrique. En effet, l’experte judiciaire estime clairement que le recourant présentait une capacité de travail durant la période d’abstinence (2022-2024) et, surtout, que les deux diagnostics incapacitants sont présents au jour de l’expertise, ce qui ressort du terme « actuellement », mentionné par l’experte à plusieurs reprises. Celle-ci n’a, en particulier, pas attesté qu’entre novembre 2019 et décembre 2021, le recourant aurait présenté les mêmes limitations fonctionnelles incapacitantes que depuis août 2024.</w:t>
      </w:r>
    </w:p>
    <w:p>
      <w:r>
        <w:rPr>
          <w:b/>
        </w:rPr>
        <w:t>E. 5.2.1.2</w:t>
      </w:r>
    </w:p>
    <w:p>
      <w:r>
        <w:t>Au demeurant, il convient de retenir à la suite de l’intimé, que le recourant a présenté une capacité de travail nulle du point de vue psychique, dès le 1er août 2024.</w:t>
      </w:r>
    </w:p>
    <w:p>
      <w:r>
        <w:rPr>
          <w:b/>
        </w:rPr>
        <w:t>E. 5.3</w:t>
      </w:r>
    </w:p>
    <w:p>
      <w:r>
        <w:t>Au vu de ce qui précède, et par appréciation anticipée des preuves, la chambre de céans renoncera à ordonner un complément d’expertise, ainsi qu’à l’audition des médecins, tel que requis par le recourant.</w:t>
      </w:r>
    </w:p>
    <w:p>
      <w:r>
        <w:rPr>
          <w:b/>
        </w:rPr>
        <w:t>E. 6</w:t>
      </w:r>
    </w:p>
    <w:p>
      <w:r>
        <w:t>L’aggravation de l’état de santé du recourant étant survenue postérieurement à la décision litigieuse, celle-ci ne peut qu’être confirmée et le recours rejeté. Étant donné les conditions restrictives posées à l’admission d’une extension de l’objet du litige, celle-ci ne sera pas prononcée (arrêt du Tribunal fédéral 9C_598/2011 du 19 avril 2012), étant relevé qu’il incombera à l’intimé de statuer sur la nouvelle demande de prestations du recourant, tout en examinant si un motif de révision d’office s’applique (art. 87 RAI), au vu de la reddition du rapport</w:t>
      </w:r>
    </w:p>
    <w:p>
      <w:r>
        <w:t>A/3630/2023 - 17/18 - d’expertise judiciaire de la Dre Q______, attestant d’une incapacité de travail totale du recourant dès août 2024, portée à la connaissance de l’intimé le 24 mai 2025. Au vu du sort du recours, le recourant sera condamné au paiement d'un émolument de CHF 200.- (art. 69 al. 1 bis LAI).</w:t>
      </w:r>
    </w:p>
    <w:p>
      <w:r>
        <w:t>A/3630/2023 - 18/18 -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