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ATAS/650/2015 vom 1. September 2015</w:t>
      </w:r>
    </w:p>
    <w:p>
      <w:r>
        <w:t>GE Cour de justice, 2015-09-01, FR</w:t>
      </w:r>
    </w:p>
    <w:p>
      <w:r>
        <w:rPr>
          <w:b/>
        </w:rPr>
        <w:t xml:space="preserve">Quelle: </w:t>
      </w:r>
      <w:r>
        <w:t>https://mcp.opencaselaw.ch/entscheid/ge_gerichte_ATAS_650_2015</w:t>
      </w:r>
    </w:p>
    <w:p>
      <w:r>
        <w:t>FR: GE_GERICHTE ATAS/650/2015 du 1 septembre 2015</w:t>
      </w:r>
    </w:p>
    <w:p>
      <w:r>
        <w:t>IT: GE_GERICHTE ATAS/650/2015 del 1 settembre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La LPGA est entrée en vigueur le 1er janvier 2003. Ses dispositions s'appliquent aux prestations complémentaires fédérales versées en vertu du chapitre 2 de la LPC, à moins que la loi n'y déroge expressément (art. 1 al. l LPC). S'agissant des</w:t>
      </w:r>
    </w:p>
    <w:p>
      <w:r>
        <w:t>A/910/2015 - 5/8 - prestations cantonales, l'art. 1A LPCC prévoit qu'en cas de silence de la loi, la LPC et ses dispositions d'exécution fédérales et cantonales, ainsi que la LPGA et ses dispositions d'exécution, sont applicables par analogie.</w:t>
      </w:r>
    </w:p>
    <w:p>
      <w:r>
        <w:rPr>
          <w:b/>
        </w:rPr>
        <w:t>E. 3</w:t>
      </w:r>
    </w:p>
    <w:p>
      <w:r>
        <w:t>Déposé dans la forme et le délai prescrits, le recours est recevable (art. 9 LPCF, art. 38 al. 4, 56 al. 1 et 61 al. 1 LPGA; art. 43 LPCC).</w:t>
      </w:r>
    </w:p>
    <w:p>
      <w:r>
        <w:rPr>
          <w:b/>
        </w:rPr>
        <w:t>E. 4</w:t>
      </w:r>
    </w:p>
    <w:p>
      <w:r>
        <w:t>Le litige porte sur le refus du SPC d’accorder à l’assuré la remise de son obligation de rembourser la somme de CHF 759.-, étant précisé que la décision du 3 novembre 2014, fixant le principe même et le montant de la restitution, est entrée en force.</w:t>
      </w:r>
    </w:p>
    <w:p>
      <w:r>
        <w:rPr>
          <w:b/>
        </w:rPr>
        <w:t>E. 5</w:t>
      </w:r>
    </w:p>
    <w:p>
      <w:r>
        <w:t>Aux termes de l'art. 25 al. 1 LPGA, la restitution de prestations indûment touchées ne peut être exigée lorsque l'intéressé était de bonne foi et qu'elle le mettrait dans une situation difficile (al. 1). Ces deux conditions sont cumulatives et leur réalisation est nécessaire pour que la remise de l'obligation de restituer soit accordée (ATF 126 V 48 consid. 3c p. 53; DTA 2001 p. 160, C 223/00, consid. 5). Les art. 4 et 5 de l'ordonnance sur la partie générale du droit des assurances sociales du 11 septembre 2002 (OPGA ; RS 830.11) définissent la situation difficile.</w:t>
      </w:r>
    </w:p>
    <w:p>
      <w:r>
        <w:rPr>
          <w:b/>
        </w:rPr>
        <w:t>E. 6</w:t>
      </w:r>
    </w:p>
    <w:p>
      <w:r>
        <w:t>L'art. 24 al. 1, 2e phrase LPCC énonce les mêmes principes que l'art. 25 LPGA.</w:t>
      </w:r>
    </w:p>
    <w:p>
      <w:r>
        <w:rPr>
          <w:b/>
        </w:rPr>
        <w:t>E. 7</w:t>
      </w:r>
    </w:p>
    <w:p>
      <w:r>
        <w:t>Selon la jurisprudence, il ne suffit pas que la personne assurée ait ignoré qu'elle n'avait pas droit aux prestations versées pour admettre qu'elle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p. 419). En revanche, la personne assurée peut invoquer sa bonne foi lorsque l'acte ou l'omission fautifs ne représentent qu'une violation légère de l'obligation d'annoncer ou de renseigner (ATF 112 V 97 consid. 2c p. 103; 110 V 176 consid. 3c p. 180). Il convient de considérer qu'il y a négligence grave lorsque le bénéficiaire de prestations ne se conforme pas à ce qui peut raisonnablement être exigé d'une personne capable de discernement dans une situation identique et dans les mêmes circonstances (ATF 110 V 176 consid. 3d p. 181 ; arrêt du Tribunal Fédéral du 16 août 2011 dans la cause 9C_41/2011). Les directives concernant les prestations complémentaires à l'AVS et à l'AI (DPC ; état au 1er janvier 2013) relèvent que si une prestation complémentaire est versée à tort et que l’assuré ne pouvait s’en rendre compte en faisant preuve de l’attention minimale exigible au vu des circonstances et du cas d’espèce, force est d’admettre la bonne foi. À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w:t>
      </w:r>
    </w:p>
    <w:p>
      <w:r>
        <w:t>A/910/2015 - 6/8 -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4652.01 ss).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Il s'agit en l’espèce d'examiner la condition de la bonne foi.</w:t>
      </w:r>
    </w:p>
    <w:p>
      <w:r>
        <w:rPr>
          <w:b/>
        </w:rPr>
        <w:t>E. 10</w:t>
      </w:r>
    </w:p>
    <w:p>
      <w:r>
        <w:t>En l’espèce, il n'est pas contesté que l'assuré n'a pas informé le SPC de ce que le montant de ses rentes AVS et LPP avait augmenté. Il a de la sorte violé son obligation d'informer le SPC d'un fait important. Reste à déterminer s’il a, ce faisant, commis une négligence grave ou une violation légère de l'obligation d'annoncer ou de renseigner.</w:t>
      </w:r>
    </w:p>
    <w:p>
      <w:r>
        <w:rPr>
          <w:b/>
        </w:rPr>
        <w:t>E. 11</w:t>
      </w:r>
    </w:p>
    <w:p>
      <w:r>
        <w:t>L'assuré considère qu'il a été de bonne foi. Il admet s’être rendu compte de ce que ses rentes avaient augmenté, il explique toutefois n’avoir pas pensé qu’il fallait en informer le SPC. Or, il a régulièrement reçu une information du SPC lui signalant son obligation d'annoncer toute modification dans sa situation. Il y a lieu de rappeler au surplus qu’il n’appartient pas aux assurés de décider quelles sont les informations pertinentes dont ils doivent informer l’administration. Peu importe qu’en réalité les faits jouent effectivement un rôle dans le calcul des prestations (ATF 123 V 151).</w:t>
      </w:r>
    </w:p>
    <w:p>
      <w:r>
        <w:t>A/910/2015 - 7/8 -</w:t>
      </w:r>
    </w:p>
    <w:p>
      <w:r>
        <w:rPr>
          <w:b/>
        </w:rPr>
        <w:t>E. 12</w:t>
      </w:r>
    </w:p>
    <w:p>
      <w:r>
        <w:t>L’assuré allègue ne rien comprendre au langage administratif, et explique qu’une assistante sociale s’occupait un temps de ses affaires administratives, mais avait dû s’arrêter pour des raisons de santé et n’avait pas été remplacée. Le service social communal de la Ville de Versoix a confirmé qu’il avait suivi l’assuré de novembre 2007 à juillet 2010, plus particulièrement pour une demande de logement, que la dernière intervention avait eu lieu en juillet 2010, mais que depuis, il était sans nouvelle de sa part. La chambre de céans comprend bien que l’assuré éprouve de grandes difficultés à affronter tout ce qui est administratif. Il n’en reste pas moins que rien ne l’empêchait de demander à nouveau de l’aide au service social de Versoix. Il y a lieu de rappeler que commet une négligence grave celui qui, lors de la demande de prestations, de l’examen des conditions du droit, ou du paiement de la prestation complémentaire indûment versée, ne fait pas preuve du minimum d’attention que l’on est en droit d’exiger de lui en fonction de ses compétences et de son degré de formation. Or, même si l’assuré est « un manuel qui écrit et lit avec difficulté », il s’était rendu compte qu’il recevait davantage de la caisse de compensation et de l’institution de prévoyance. Sachant qu’il était au bénéfice de prestations complémentaires, il ne pouvait manquer de comprendre qu’il lui fallait en informer le SPC.</w:t>
      </w:r>
    </w:p>
    <w:p>
      <w:r>
        <w:rPr>
          <w:b/>
        </w:rPr>
        <w:t>E. 13</w:t>
      </w:r>
    </w:p>
    <w:p>
      <w:r>
        <w:t>Force est ainsi de conclure à l’absence de bonne foi au sens de l’art. 25 al. 1 LPGA.</w:t>
      </w:r>
    </w:p>
    <w:p>
      <w:r>
        <w:rPr>
          <w:b/>
        </w:rPr>
        <w:t>E. 14</w:t>
      </w:r>
    </w:p>
    <w:p>
      <w:r>
        <w:t>Aussi le refus du SPC d’accorder à l’assurée la remise de l’obligation de rembourser les prestations versées à tort ne peut-il être que confirmé, sans qu’il soit nécessaire d’examiner la condition de la situation financière. Le recours est, partant, rejeté.</w:t>
      </w:r>
    </w:p>
    <w:p>
      <w:r>
        <w:t>A/910/2015 - 8/8 -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