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ATAS/650/2013 vom 27. Juni 2013</w:t>
      </w:r>
    </w:p>
    <w:p>
      <w:r>
        <w:t>GE Cour de justice, 2013-06-27, FR</w:t>
      </w:r>
    </w:p>
    <w:p>
      <w:r>
        <w:rPr>
          <w:b/>
        </w:rPr>
        <w:t xml:space="preserve">Quelle: </w:t>
      </w:r>
      <w:r>
        <w:t>https://mcp.opencaselaw.ch/entscheid/ge_gerichte_ATAS_650_2013</w:t>
      </w:r>
    </w:p>
    <w:p>
      <w:r>
        <w:t>FR: GE_GERICHTE ATAS/650/2013 du 27 juin 2013</w:t>
      </w:r>
    </w:p>
    <w:p>
      <w:r>
        <w:t>IT: GE_GERICHTE ATAS/650/2013 del 27 giugno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Les décisions sur opposition sont sujettes à recours dans le délai de 30 jours suivant leur notification (cf. art. 56 et 60 LPGA). En l'occurrence, la décision litigieuse a été notifiée par pli recommandé du 25 avril 2013, reçu par le recourant 29 avril 2013. Par conséquent, le recours, interjeté dans les formes prévues par loi, est recevable (art. 89B de la loi sur la procédure administrative du 12 septembre 1985 – LPA ; RSG E 5 10).</w:t>
      </w:r>
    </w:p>
    <w:p>
      <w:r>
        <w:rPr>
          <w:b/>
        </w:rPr>
        <w:t>E. 3</w:t>
      </w:r>
    </w:p>
    <w:p>
      <w:r>
        <w:t>L'objet du litige porte sur la restitution d'indemnités journalières à hauteur du montant de 5'997 fr. 60.</w:t>
      </w:r>
    </w:p>
    <w:p>
      <w:r>
        <w:t>A/1707/2013 - 4/6 -</w:t>
      </w:r>
    </w:p>
    <w:p>
      <w:r>
        <w:rPr>
          <w:b/>
        </w:rPr>
        <w:t>E. 4</w:t>
      </w:r>
    </w:p>
    <w:p>
      <w:r>
        <w:t>Préalablement, la Cour doit se prononcer sur la demande de restitution d'effet suspensif.</w:t>
      </w:r>
    </w:p>
    <w:p>
      <w:r>
        <w:rPr>
          <w:b/>
        </w:rPr>
        <w:t>E. 5</w:t>
      </w:r>
    </w:p>
    <w:p>
      <w:r>
        <w:t>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p. 88).</w:t>
      </w:r>
    </w:p>
    <w:p>
      <w:r>
        <w:rPr>
          <w:b/>
        </w:rPr>
        <w:t>E. 6</w:t>
      </w:r>
    </w:p>
    <w:p>
      <w:r>
        <w:t>En l'espèce, le recourant sollicite le rétablissement de l'effet suspensif, alléguant que contrairement à ce que soutient l'intimée, elle n'a aucun motif convaincant pour ce faire et que cette mesure préjuge de l'issue du litige. Sur le fond, il conteste avoir travaillé durant la période où il était en arrêt de travail suite à son accident et relève que son épouse est en conflit avec les exploitants du bar pour des salaires impayés. L'intimée s'oppose au rétablissement de l'effet suspensif, motif pris qu'il est à craindre que le recourant soit mis en difficulté par l'accumulation d'un important arriéré à rembourser. Il convient de relever en premier lieu que la demande de restitution porte sur des prestations versées en 2011, à hauteur du montant réclamé, et non sur des prestations en cours. Par conséquent l'argument selon lequel il est à craindre que le recourant ne puisse faire face à l'accumulation d'un important arriéré tombe à faux. Ensuite, contrairement à ce que prétend l'intimée, l'on ne peut conclure que l'issue du litige ne fait aucun doute.</w:t>
      </w:r>
    </w:p>
    <w:p>
      <w:r>
        <w:t>A/1707/2013 - 5/6 - En effet, la Cour de céans constate que la décision de restitution a été prise à la suite d'une dénonciation, sur la base d'un simple reçu et d'un entretien téléphonique. Or, non seulement le recourant conteste avoir travaillé durant la période litigieuse, mais il apparait que son épouse est en litige avec le dénonciateur pour des salaires impayés. Il allègue au surplus avoir travaillé dans le bar pour une période antérieure et que les travaux exécutés durant la période litige l'ont été par deux de ses amis. Au vu de ce qui précède et des prévisions incertaines quant à l'issue du litige, l'intimée n'était pas fondée à retirer l'effet suspensif.</w:t>
      </w:r>
    </w:p>
    <w:p>
      <w:r>
        <w:rPr>
          <w:b/>
        </w:rPr>
        <w:t>E. 7</w:t>
      </w:r>
    </w:p>
    <w:p>
      <w:r>
        <w:t>La requête en rétablissement de l'effet suspensif, bien fondée, est admise.</w:t>
      </w:r>
    </w:p>
    <w:p>
      <w:r>
        <w:t>A/1707/2013 - 6/6 -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