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ATAS/650/2011 vom 21. Juni 2011</w:t>
      </w:r>
    </w:p>
    <w:p>
      <w:r>
        <w:t>GE Cour de justice, 2011-06-21, FR</w:t>
      </w:r>
    </w:p>
    <w:p>
      <w:r>
        <w:rPr>
          <w:b/>
        </w:rPr>
        <w:t xml:space="preserve">Quelle: </w:t>
      </w:r>
      <w:r>
        <w:t>https://mcp.opencaselaw.ch/entscheid/ge_gerichte_ATAS_650_2011</w:t>
      </w:r>
    </w:p>
    <w:p>
      <w:r>
        <w:t>FR: GE_GERICHTE ATAS/650/2011 du 21 juin 2011</w:t>
      </w:r>
    </w:p>
    <w:p>
      <w:r>
        <w:t>IT: GE_GERICHTE ATAS/650/2011 del 21 giugno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la demande de révision est postérieure au 1er</w:t>
      </w:r>
    </w:p>
    <w:p>
      <w:r>
        <w:t>A/1258/2011 - 6/17 - janvier 2003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S'agissant des modifications de la LAI du 6 octobre 2006 (5ème révision de la LAI), entrées en vigueur le 1er janvier 2008 (à l'exception de l'art.68 quater entrée en vigueur rétroactivement le 1er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356 consid.1 et les arrêts cités).</w:t>
      </w:r>
    </w:p>
    <w:p>
      <w:r>
        <w:rPr>
          <w:b/>
        </w:rPr>
        <w:t>E. 3</w:t>
      </w:r>
    </w:p>
    <w:p>
      <w:r>
        <w:t>Interjeté en temps utile, le présent recours est recevable (art. 39 al. 1 et 60 al. 2 LPGA).</w:t>
      </w:r>
    </w:p>
    <w:p>
      <w:r>
        <w:rPr>
          <w:b/>
        </w:rPr>
        <w:t>E. 4</w:t>
      </w:r>
    </w:p>
    <w:p>
      <w:r>
        <w:t>La question litigieuse est celle de savoir si c'est à bon droit que l'intimé a remplacé la rente entière octroyée à l'assurée le 16 mars 2009, avec effet rétroactif au 1er août 2007, par une demi-rente.</w:t>
      </w:r>
    </w:p>
    <w:p>
      <w:r>
        <w:rPr>
          <w:b/>
        </w:rPr>
        <w:t>E. 5</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w:t>
      </w:r>
    </w:p>
    <w:p>
      <w:r>
        <w:rPr>
          <w:b/>
        </w:rPr>
        <w:t>E. 6</w:t>
      </w:r>
    </w:p>
    <w:p>
      <w:r>
        <w:t>Selon l'art. 17 LPGA,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125 V 369 consid. 2 et la référence; 112 V 372 consid. 2b et 390 consid. 1b). Ainsi, pour examiner s'il y a eu une modification importante du degré d'invalidité au sens de l'art. 17 LPGA, le juge doit</w:t>
      </w:r>
    </w:p>
    <w:p>
      <w:r>
        <w:t>A/1258/2011 - 7/17 - généralement prendre en considération l'influence de l'état de santé sur la capacité de gain au moment où fut rendue la décision qui a octroyé ou modifié le droit à la rente ainsi que l'état de fait existant au moment de la décision attaquée. Il convient encore d’ajouter qu'à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Pour qu'une décision de révision constitue elle aussi une (nouvelle) base de comparaison dans le cadre d'une autre révision, il faut qu'elle porte sur l'adaptation effective du droit à la rente en cours au taux d'invalidité nouvellement déterminé, et non qu'elle se borne à confirmer la décision initiale (ATF 109 V 265 consid. 4a; voir aussi ATF 130 V 75 consid. 3.2.3).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Sont des motifs de révision, l'amélioration ou l'aggravation de l'état de santé, la reprise ou l'abandon de l'activité lucrative, l'augmentation ou la baisse du revenu d'invalide, la modification de la capacité d'accomplir les travaux habituels, la modification des critères d'évaluation de l'invalidité (modification du statut), la modification de la situation familiale déterminante lors de l'évaluation de l'invalidité des assurés qui s'occupent du ménage, et la modification de dispositions légales ou réglementaire impliquant des conditions du droit à la rente plus larges ou plus strictes ; ne constituent en revanche pas des motifs de révision la modification provisoire d'un de ces éléments, ou des modifications de directives administratives (cf. directives de l'Office fédéral des assurances sociales, CIIAI, ch. 5005 et ss). De même, un changement de jurisprudence n’est un motif ni de révision procédurale ni de reconsidération. En droit des assurances sociales, un changement de jurisprudence ne peut qu’exceptionnellement conduire à la révocation d’une décision, même si cette décision est assortie d’effets durables (notamment si elle concerne des prestations</w:t>
      </w:r>
    </w:p>
    <w:p>
      <w:r>
        <w:t>A/1258/2011 - 8/17 - périodiques). Il faut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Cette pratique restrictive vaut en tout cas lorsque l’application d’une jurisprudence nouvelle s’opérerait au détriment du justiciable (cf. ATF 129 V 200 consid. 1.2).</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(COMAI) (ATF 123 V 175), les expertises produites par une partie ainsi que les expertises médicales ordonnées par le juge (VSI 1997, p. 318, consid. 3b ; BLANC, La procédure administrative en assurance-invalidité, thèse Fribourg 1999, p. 142).</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w:t>
      </w:r>
    </w:p>
    <w:p>
      <w:r>
        <w:t>A/1258/2011 - 9/17 -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10</w:t>
      </w:r>
    </w:p>
    <w:p>
      <w:r>
        <w:t>En l’espèce, il s’agit de déterminer si l’état de santé de l'assurée s’est amélioré entre la décision initiale du 16 mars 2009 et la décision querellée du 4 avril 2011.</w:t>
      </w:r>
    </w:p>
    <w:p>
      <w:r>
        <w:t>A/1258/2011 - 10/17 -</w:t>
      </w:r>
    </w:p>
    <w:p>
      <w:r>
        <w:rPr>
          <w:b/>
        </w:rPr>
        <w:t>E. 11</w:t>
      </w:r>
    </w:p>
    <w:p>
      <w:r>
        <w:t>Lors de la décision initiale du 16 mars 2009, le droit de l'assurée à une rente entière avait été reconnu, au motif que les Drs V_________ et B________ avaient fixé l'incapacité de travail à 100 %, quelle que soit l'activité envisagée, en raison de cervico-bracchialgies, d'acroparesthésies distales et d'un état dépressif. Aussi le droit de l'assurée à une rente entière avait-il été admis pour des motifs somatiques. Interrogé par l'OAI dans le cadre de la révision du dossier en octobre 2009, le médecin traitant a expliqué que la situation évoluait vers un syndrome fibromyalgique depuis février 2009. Il a par ailleurs insisté sur le passé très douloureux de sa patiente. Il a confirmé l'incapacité de travail à 100%, tout en précisant qu'il ne pouvait se prononcer sur la capacité de travail dans une activité adaptée. Les médecins du SMR ont retenu les mêmes diagnostics que le médecin traitant. Selon eux, "l'assurée garde des cervico-brachialgies gauches irritatives, non déficitaires, dans un status après deux opérations d'une hernie discale cervicale et opération d'un tunnel carpien gauche. Il persiste un syndrome rachidien cervical léger, une kinésiophobie au niveau cervical". Ils ont décrit précisément quelles étaient les limitations fonctionnelles de l'assurée, soit pas de rotation rapide, pas d'attitude prolongée de la tête en extension, pas de travail prolongé des bras au- dessus de la tête et pas de port de charges en bi-manuel au-delà de cinq kilos. Ils ont considéré qu'elle présentait une capacité de travail exigible de 65% dans l'activité habituelle de gestionnaire de l'ordonnancement chez X_________, de 0% dans l'activité de serveuse et de 65% dans une activité adaptée, ce depuis début juillet 2009. Ils disent partager l'impression du Dr B________ quant à la présence d'une fibromyalgie, mais ont dénié tout caractère invalidant à cette atteinte.</w:t>
      </w:r>
    </w:p>
    <w:p>
      <w:r>
        <w:rPr>
          <w:b/>
        </w:rPr>
        <w:t>E. 12</w:t>
      </w:r>
    </w:p>
    <w:p>
      <w:r>
        <w:t>Il y a lieu de constater que l’expertise réalisée par les médecins du SMR satisfait entièrement aux critères dégagés par la jurisprudence pour se voir reconnaître une pleine valeur probante. Le rapport de ces médecins se fonde en effet sur l’étude du dossier médical de la recourante, contient une anamnèse détaillée, relate ses plaintes et a été établi sur la base d'examens cliniques particulièrement minutieux. De plus, leurs conclusions sont claires et convaincantes. Il est vrai qu'il n'y est pas question du passé douloureux évoqué par le Dr B________. On ne peut cependant considérer que l'expertise est incomplète au seul motif que le passé de la recourante n'a pas été décrit. Il convient de rappeler qu’une expertise médicale est réputée incomplète lorsqu’elle omet de répondre aux questions posées ou qu’elle ne tient pas compte d’éléments essentiels d’ordre médical ou de constatations objectives (ATF I 568/06 du 22 novembre 2006, consid. 5.1). La jurisprudence n'exige pas qu'une biographie complète de la personne examinée figure dans l'expertise. On voit au demeurant mal en quoi</w:t>
      </w:r>
    </w:p>
    <w:p>
      <w:r>
        <w:t>A/1258/2011 - 11/17 - l’historique détaillé de la recourante serait déterminant pour les résultats de l’expertise. En effet, si l’apparition de certains troubles psychiques peut très certainement être favorisée par certains événements douloureux ou pénibles, un passé malheureux ne suffit pas à lui seul à conclure à l’existence de telles atteintes en l’absence de symptômes et de constats objectifs en ce sens. La recourante peut certes avoir quelques difficultés à se confier à un médecin qu’elle ne connaît pas. Il n’est cependant pas établi que les déclarations éventuellement incomplètes de la recourante aient eu une influence déterminante sur les conclusions du psychiatre, qui doit avant tout se fonder sur les symptômes et ses constats objectifs. Même à supposer que tel soit le cas, la Cour de céans rappelle qu’aux termes de l’art. 43 al. 2 LPGA, l’assuré doit se soumettre à des examens médicaux ou techniques si ceux-ci sont nécessaires à l’appréciation du cas et qu’ils peuvent être raisonnablement exigés. Une expertise fait partie des examens raisonnablement exigibles (Ueli KIESER, op. cit., n. 44 ad art. 43 ; ATF I 988/06 du 28 mars 2007, consid. 4.2). Or, si l’assuré refuse de collaborer à l’instruction – par exemple en refusant de se soumettre à l’expertise ou de répondre à certaines questions, l’assureur est en droit de se prononcer en l’état du dossier (cf. art. 43 al. 3 LPGA). Enfin, les conclusions du Dr B________ ne permettent pas de renverser celles des experts. Le Dr B________ lui-même fait état d'une évolution en notant l'apparition d'un syndrome fibromyalgique depuis février 2009 et dit en octobre 2009 ne pas pouvoir se prononcer sur la capacité de travail dans une activité adaptée, considérant qu'un stage d'observation permettrait peut-être de préciser un taux. Il apparaît ainsi que l'état de santé de l'assurée s'est sensiblement modifié depuis en tout cas février 2009. Il y a au surplus lieu de rappeler que le médecin traitant indiquait en octobre 2008 que des mesures médicales pourraient apporter une amélioration, de sorte que la situation n'était pas encore stabilisée. Partant les conditions de la révision sont réalisées.</w:t>
      </w:r>
    </w:p>
    <w:p>
      <w:r>
        <w:rPr>
          <w:b/>
        </w:rPr>
        <w:t>E. 13</w:t>
      </w:r>
    </w:p>
    <w:p>
      <w:r>
        <w:t>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w:t>
      </w:r>
    </w:p>
    <w:p>
      <w:r>
        <w:t>A/1258/2011 - 12/17 -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D’autre part, 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Au nombre des critères dégagés par la jurisprudence, qui permettent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w:t>
      </w:r>
    </w:p>
    <w:p>
      <w:r>
        <w:t>A/1258/2011 - 13/17 -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 P. HENNINGSEN, Zur Begutachtung somatoformer Störungen in: Praxis 94/2005, p. 2007 ss).</w:t>
      </w:r>
    </w:p>
    <w:p>
      <w:r>
        <w:rPr>
          <w:b/>
        </w:rPr>
        <w:t>E. 14</w:t>
      </w:r>
    </w:p>
    <w:p>
      <w:r>
        <w:t>En l'espèce, la Doctoresse G________ n'a relevé l'existence d'aucune comorbidité psychiatrique grave. La recourante n'est quoi qu'il en soit pas suivie par un psychiatre. Se pose ainsi la question du cumul éventuel des autres critères établis par la jurisprudence. Il y a à cet égard lieu d’examiner si l’assuré en réunit plusieurs en sa personne de manière suffisamment marquée, ce qui fonderait un pronostic défavorable en ce qui concerne l’exigibilité d’une reprise d’activité professionnelle. Cependant, si le critère de la présence d’affections corporelles chroniques apparaît comme réalisé au vu des troubles somatiques dont l’assurée souffre depuis plusieurs années, il ressort clairement des constatations de la Dresse G________ qu'il n'en est pas de même des autres critères. En conclusion, il ressort de ce qui précède que l’assurée ne remplit pas les critères permettant de reconnaître la fibromyalgie dont elle souffre comme invalidante, en dépit de la présence d’affections corporelles chroniques. Il n’y a dès lors pas lieu de s’écarter des conclusions des experts, selon lesquelles la recourante dispose d’une capacité de travail de 65% dans une activité adaptée à ses limitations.</w:t>
      </w:r>
    </w:p>
    <w:p>
      <w:r>
        <w:rPr>
          <w:b/>
        </w:rPr>
        <w:t>E. 15</w:t>
      </w:r>
    </w:p>
    <w:p>
      <w:r>
        <w:t>Reste à déterminer le degré d'invalidité.</w:t>
      </w:r>
    </w:p>
    <w:p>
      <w:r>
        <w:rPr>
          <w:b/>
        </w:rPr>
        <w:t>E. 16</w:t>
      </w:r>
    </w:p>
    <w:p>
      <w:r>
        <w:t>Aux termes de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LPGA2) d’au moins 40 % en moyenne durant une année sans interruption notable;</w:t>
      </w:r>
    </w:p>
    <w:p>
      <w:r>
        <w:t>A/1258/2011 - 14/17 - c. au terme de cette année, il est invalide (art. 8 LPGA) à 40 % au moins. La rente est échelonnée selon le taux d’invalidité: Taux d’invalidité Droit à la rente en fraction d’une rente entière 40 % au moins un quart 50 % au moins une demie 60 % au moins trois quarts 70 % au moins rente entière"</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Le revenu déterminant correspond au revenu présumé issu d'une activité lucrative, sur lequel les cotisations de l'assurance-vieillesse seraient prélevées (art. 25 al. 1 RAI; arrêt 9C_699/2008 du 26 janvier 2009). Dans le cas d’assurés au chômage complet ou partiel, on entend par revenu hypothétique sans invalidité le revenu que la personne aurait probablement réalisé dans une situation équilibrée du marché du travail si elle n’avait pas perdu</w:t>
      </w:r>
    </w:p>
    <w:p>
      <w:r>
        <w:t>A/1258/2011 - 15/17 - son emploi (voir Circulaire sur l’invalidité et l’impotence dans l’assurance- invalidité (CIIAI), n° 3024) Quant au revenu d'invalide, il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En règle générale, il convient de se fonder sur les salaires mensuels indiqués dans la table ESS TA1, à la ligne total du tableau relatif au «secteur privé » (ATF 124 V 321 consid. 3b/aa p. 323). Cette solution est en particulier justifiée lorsque la personne assurée ne pourra plus exercer son activité habituelle et qu’elle est tenue de trouver un emploi dans un nouveau domaine d’activité, l’intégralité du marché du travail étant ainsi à sa disposition (arrêt 9C_237/2007 du 24 août 2007 consid. 5.1 et 5.2, non publiés aux ATF 133 V 545, et les références citées).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A noter que les difficultés alléguées de retrouver un emploi adapté, compte tenu de l'âge et de la longue période d'inactivité, ne constituent pas un facteur de réduction supplémentaire selon les critères énumérés par la jurisprudence (ATF 126 V 75). Dans ce contexte, il a été jugé que la réduction des salaires issus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w:t>
      </w:r>
    </w:p>
    <w:p>
      <w:r>
        <w:t>A/1258/2011 - 16/17 -</w:t>
      </w:r>
    </w:p>
    <w:p>
      <w:r>
        <w:rPr>
          <w:b/>
        </w:rPr>
        <w:t>E. 17</w:t>
      </w:r>
    </w:p>
    <w:p>
      <w:r>
        <w:t>Aux termes de l’art. 88bis al. 2 du règlement du 17 janvier 1961 sur l’assurance- invalidité (RAI), la diminution ou la suppression de la rente ou de l’allocation pour impotent prend effet :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selon l’art. 77 RAI (let. b).</w:t>
      </w:r>
    </w:p>
    <w:p>
      <w:r>
        <w:rPr>
          <w:b/>
        </w:rPr>
        <w:t>E. 18</w:t>
      </w:r>
    </w:p>
    <w:p>
      <w:r>
        <w:t>En l'espèce, c'est à juste titre que l'OAI a retenu, à titre de revenu sans invalidité, le salaire annuel brut de 71'539 fr. qu'aurait réalisé l'intéressée en 2007 et s'est fondé, s'agissant du revenu avec invalidité, sur les statistiques salariales, soit sur un montant de 32'148 fr., étant précisé qu'aucun motif ne permet par ailleurs de tenir compte d'un abattement supplémentaire. Aussi le degré d'invalidité de 55% a-t-il été correctement calculé. Partant, la décision du 4 avril 2011 est confirmée et le recours rejeté.</w:t>
      </w:r>
    </w:p>
    <w:p>
      <w:r>
        <w:t>A/1258/2011 - 17/17 -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