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ATAS/64/2008 vom 22. Januar 2008</w:t>
      </w:r>
    </w:p>
    <w:p>
      <w:r>
        <w:t>GE Cour de justice, 2008-01-22, FR</w:t>
      </w:r>
    </w:p>
    <w:p>
      <w:r>
        <w:rPr>
          <w:b/>
        </w:rPr>
        <w:t xml:space="preserve">Quelle: </w:t>
      </w:r>
      <w:r>
        <w:t>https://mcp.opencaselaw.ch/entscheid/ge_gerichte_ATAS_64_2008</w:t>
      </w:r>
    </w:p>
    <w:p>
      <w:r>
        <w:t>FR: GE_GERICHTE ATAS/64/2008 du 22 janvier 2008</w:t>
      </w:r>
    </w:p>
    <w:p>
      <w:r>
        <w:t>IT: GE_GERICHTE ATAS/64/2008 del 22 gennaio 2008</w:t>
      </w:r>
    </w:p>
    <w:p>
      <w:pPr>
        <w:pStyle w:val="Heading2"/>
      </w:pPr>
      <w:r>
        <w:t>Erwägungen</w:t>
      </w:r>
    </w:p>
    <w:p>
      <w:r>
        <w:rPr>
          <w:b/>
        </w:rPr>
        <w:t>E. 12</w:t>
      </w:r>
    </w:p>
    <w:p>
      <w:r>
        <w:t>Dans sa réponse du 31 mai 2007, l'OCAI a proposé le rejet du recours.</w:t>
      </w:r>
    </w:p>
    <w:p>
      <w:r>
        <w:rPr>
          <w:b/>
        </w:rPr>
        <w:t>E. 13</w:t>
      </w:r>
    </w:p>
    <w:p>
      <w:r>
        <w:t>Le Tribunal de céans a ordonné l'audition de l'infirmière de santé publique chargée de la seconde enquête ménagère le 11 décembre 2007. Celle-ci a expliqué comment elle avait procédé et sur quels critères elle s'était fondée pour déterminer et le taux de pondération retenu pour chacun des champs d'activité et le taux d'empêchement. Elle a confirmé tous les chiffres indiqués, étant toutefois précisé qu'elle n'avait pas pris en considération le fait que l'assurée aurait pu s'occuper de temps à autre de ses petits-enfants, et étant admis qu'elle aurait pu fixer le taux de pondération pour la rubrique intitulée "divers" (jardin familial et tricot) à 10% au lieu de 5%.</w:t>
      </w:r>
    </w:p>
    <w:p>
      <w:r>
        <w:rPr>
          <w:b/>
        </w:rPr>
        <w:t>E. 14</w:t>
      </w:r>
    </w:p>
    <w:p>
      <w:r>
        <w:t>En l'espèce, l'OCAI a considéré que l'assurée aurait exercé, sans l'atteinte à la santé, une activité lucrative à 50%, ce qui n'est pas contesté. Le calcul du degré d'invalidité a dès lors été établi sur la base de la comparaison des revenus et une incapacité de travail de 50% pour la part qui aurait été consacrée à une activité lucrative, soit à 50%, et de l'empêchement à accomplir les travaux ménagers de 12,75%, pour la part de non-active.</w:t>
      </w:r>
    </w:p>
    <w:p>
      <w:r>
        <w:rPr>
          <w:b/>
        </w:rPr>
        <w:t>E. 15</w:t>
      </w:r>
    </w:p>
    <w:p>
      <w:r>
        <w:t>En l'espèce, le calcul auquel a procédé l'OCAI s'agissant de la comparaison des revenus, est conforme aux dispositions légales et réglementaires applicables, ainsi qu'à la jurisprudence du TFA.</w:t>
      </w:r>
    </w:p>
    <w:p>
      <w:r>
        <w:rPr>
          <w:b/>
        </w:rPr>
        <w:t>E. 16</w:t>
      </w:r>
    </w:p>
    <w:p>
      <w:r>
        <w:t>L'assurée conteste le taux d'abattement supplémentaire de 20% retenu par l'OCAI, estimant qu'il devrait être de 25%.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w:t>
      </w:r>
    </w:p>
    <w:p>
      <w:r>
        <w:t>A/816/2007 - 12/14 -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Tribunal de céans est d'avis que le taux d'abattement supplémentaire de 20% retenu par l'OCAI est, au vu de la jurisprudence susmentionnée, adéquat. Le taux d'invalidité pour la part professionnelle est en conséquence de 47%.</w:t>
      </w:r>
    </w:p>
    <w:p>
      <w:r>
        <w:rPr>
          <w:b/>
        </w:rPr>
        <w:t>E. 17</w:t>
      </w:r>
    </w:p>
    <w:p>
      <w:r>
        <w:t>De l'enquête ménagère réalisée le 7 novembre 2006, il résulte un degré d'empêchement à accomplir les travaux habituels de 29%. L'assurée conteste les résultats obtenus dans chacun des postes, en procédant à la comparaison avec ce qui avait été dit lors de la première enquête. Elle considère qu'il se justifierait de</w:t>
      </w:r>
    </w:p>
    <w:p>
      <w:r>
        <w:t>A/816/2007 - 13/14 - prendre un taux de 71% en considération. Elle reproche essentiellement à l'OCAI de n'avoir pas suffisamment tenu compte de l'aide apportée par son époux. Lors de son audition le 11 décembre 2007, l'enquêtrice a expliqué de quelle façon elle avait inclus l'aide apportée par l'époux dans ses calculs et a confirmé les chiffres indiqués, à l'exception du taux de pondération retenu pour la rubrique intitulée "divers" et comprenant en l'espèce les tâches consacrées au jardin familial et le tricot, ainsi que la garde des petits-enfants. En corrigeant le premier des deux postes sur la base des déclarations de l'enquêtrice, on obtient un degré d'empêchement à accomplir les travaux ménagers de 33%, ce qui donne un degré d'invalidité de 40% au lieu de 38%. Un tel taux donne droit à un quart de rente. Il n'est pas nécessaire de procéder à une nouvelle évaluation s'agissant de la rubrique relative à la garde des petits-enfants, le nouveau degré d'invalidité qui serait sur cette base calculé n'atteindrait quoi qu'il en soi pas le degré de 50% à partir duquel l'assurée pourrait prétendre à une demi-rente. Aussi le recours est-il partiellement admis et le droit à un quart de rente reconnu à l'assurée depuis mai 2003 (art. 29 LAI).</w:t>
      </w:r>
    </w:p>
    <w:p>
      <w:r>
        <w:t>A/816/2007 - 14/14 -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