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ATAS/649/2010 vom 9. Dezember 2009</w:t>
      </w:r>
    </w:p>
    <w:p>
      <w:r>
        <w:t>GE Cour de justice, 2009-12-09, FR</w:t>
      </w:r>
    </w:p>
    <w:p>
      <w:r>
        <w:rPr>
          <w:b/>
        </w:rPr>
        <w:t xml:space="preserve">Quelle: </w:t>
      </w:r>
      <w:r>
        <w:t>https://mcp.opencaselaw.ch/entscheid/ge_gerichte_ATAS_649_2010</w:t>
      </w:r>
    </w:p>
    <w:p>
      <w:r>
        <w:t>FR: GE_GERICHTE ATAS/649/2010 du 9 décembre 2009</w:t>
      </w:r>
    </w:p>
    <w:p>
      <w:r>
        <w:t>IT: GE_GERICHTE ATAS/649/2010 del 9 dicembre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Déposé dans les forme et délai prévus par la loi, le présent recours est recevable (art. 60 LPGA).</w:t>
      </w:r>
    </w:p>
    <w:p>
      <w:r>
        <w:rPr>
          <w:b/>
        </w:rPr>
        <w:t>E. 3</w:t>
      </w:r>
    </w:p>
    <w:p>
      <w:r>
        <w:t>Le litige porte sur le montant des cotisations personnelles AVS/AI 2005 dû par l'intéressée en sa qualité de personne non active.</w:t>
      </w:r>
    </w:p>
    <w:p>
      <w:r>
        <w:rPr>
          <w:b/>
        </w:rPr>
        <w:t>E. 4</w:t>
      </w:r>
    </w:p>
    <w:p>
      <w:r>
        <w:t>Sont assurées et partant tenues de cotiser à l'AVS, les personnes physiques domiciliées en Suisse (art. 1a let. a LAVS). L'intéressée étant domiciliée à Genève et n'exerçant pas d'activité lucrative, elle est tenue de s'acquitter de cotisations personnelles AVS/AI en tant que non active.</w:t>
      </w:r>
    </w:p>
    <w:p>
      <w:r>
        <w:rPr>
          <w:b/>
        </w:rPr>
        <w:t>E. 5</w:t>
      </w:r>
    </w:p>
    <w:p>
      <w:r>
        <w:t>Les assurés n'exerçant aucune activité lucrative paient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 le montant de la rente annuelle multiplié par 20 est ajouté à la fortune (art. 28 al. 1 et 2 du règlement sur l'assurance-vieillesse et survivants, du 31 octobre 1947, RAVS, RS 831.101).</w:t>
      </w:r>
    </w:p>
    <w:p>
      <w:r>
        <w:t>A/999/2010 - 4/7 - Les cotisations dues durant l'année de cotisation sont fixées sur la base de la condition sociale de la personne assurée pendant l'année de cotisation. La fortune déterminante correspond à la fortune au 31 décembre de l'année de cotisation (art. 29 al. 2, 1ère phrase, RAVS). Le revenu sous forme de rente déterminant correspond au revenu sous forme de rente effectivement acquis pendant l'année de cotisation (art. 29 al. 2 RAVS ; Directives sur les cotisations des travailleurs indépendants et des personnes sans activité lucrative - DIN - chiffres 2102, 2104 et 2105). Si une personne mariée doit payer des cotisations comme personne sans activité lucrative, ses cotisations sont déterminées - indépendamment du régime patrimonial des époux - sur la base de la moitié de la fortune et du revenu sous forme de rente du couple (art. 10 al. 4 LAVS ; VSI 1999 p. 118). Cette règle est également valable lorsqu'un seul conjoint est assuré à l'AVS et est soumis à l'obligation de cotiser (DIN, ch. 2078). Dans un arrêt publié aux ATF 127 V 67 (consid. 3a), le Tribunal fédéral a confirmé la conformité à la Constitution et à la loi de l'art. 28 al. 4 RAVS, à teneur duquel le revenu acquis sous forme de rente d'époux doit être pris en compte pour moitié dans le calcul des cotisations du conjoint sans activité lucrative. La fortune déterminante d'une personne sans activité lucrative représente l'ensemble de sa fortune nette, détenue en Suisse ou à l'étranger. Les dettes doivent être déduites de la fortune brute. Celles-ci comprennent également les charges durables grevant cette fortune qui dérivent d'obligations contractuelles ou de dispositions pour cause de mort (rentes viagères, usufruit, etc.), pour autant que leur montant soit connu. Ne peuvent en revanche pas être déduites les prestations d'entretien ou d'assistance du droit de la famille. Le Tribunal fédéral a déjà eu l'occasion de juger que seule la fortune brute doit être prise en considération pour le calcul du montant des cotisations AVS/AI. Les déductions forfaitaires prévues par le droit fiscal cantonal en particulier, ne peuvent être prises en considération (ATF du 7 juillet 2005, H 204/04). Selon le chiffre 2082 DIN, les dettes doivent certes être déduites de la fortune brute, l'abattement forfaitaire ne constitue cependant pas une dette et ne saurait être déductible de la fortune brute.</w:t>
      </w:r>
    </w:p>
    <w:p>
      <w:r>
        <w:rPr>
          <w:b/>
        </w:rPr>
        <w:t>E. 6</w:t>
      </w:r>
    </w:p>
    <w:p>
      <w:r>
        <w:t>Les autorités fiscales cantonales établissent la fortune sur la base de la taxation fiscale cantonale correspondante passée en force et la communiquent aux caisses de compensation (chiffres 2080 et ss DIN). Selon le ch. 2122 DIN, "il incombe aux caisses de compensation d'établir le revenu sous forme de rente. Celles-ci travaillent autant que possible en liaison avec l'autorité fiscale du canton de domicile de l'assuré. Toutefois, en raison de différences entre la notion fiscale et AVS du revenu sous forme de rente, les communications de cette autorité ne lient pas les caisses de compensation.</w:t>
      </w:r>
    </w:p>
    <w:p>
      <w:r>
        <w:t>A/999/2010 - 5/7 - Les caisses de compensation sont liées par les données des autorités fiscales (art. 23 al. 4 RAVS).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du 21 mars 2007, H 87/06, ATF 110 V 86 consid. 4 et 370 s., 106 V 130 consid. 1, 102 V 30 consid. 3a; VSI 1997 p. 26 consid. 2b et la référence).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(RCC 1988 p. 321 et les références ; ATF 120 V 272 consid. 2).</w:t>
      </w:r>
    </w:p>
    <w:p>
      <w:r>
        <w:rPr>
          <w:b/>
        </w:rPr>
        <w:t>E. 7</w:t>
      </w:r>
    </w:p>
    <w:p>
      <w:r>
        <w:t>L'intéressée allègue que les chiffres sur la base desquels la Caisse a calculé le montant de ses cotisations personnelles du pour 2005 sont erronés en tant qu'ils ne tiennent pas comptes des intérêts des dettes contractées par son époux. Elle considère que le fait que la succession ait été répudiée, de même que le faible montant des cotisations dues pour les deux années antérieures et pour les deux années postérieures à 2005, démontre que la fortune n'atteignait de loin pas le chiffre retenu par la Caisse. Elle souligne du reste que la taxation fiscale était une taxation d'office. Rappelant enfin que les directives de l'Office fédéral des assurances sociales n'ont pas force légale, elle conclut à ce qu'elle soit taxée sur son propre revenu.</w:t>
      </w:r>
    </w:p>
    <w:p>
      <w:r>
        <w:rPr>
          <w:b/>
        </w:rPr>
        <w:t>E. 8</w:t>
      </w:r>
    </w:p>
    <w:p>
      <w:r>
        <w:t>Il y a lieu de rappeler que les caisses sont liées par le montant de la fortune et du revenu à elle communiqué par l'administration fiscale cantonale, même lorsqu'il y a eu taxation d'office. Le Tribunal de céans constate enfin que la taxation fiscale est en l'occurrence entrée en force. C'est dès lors à juste titre que la Caisse s'est fondée sur la communication IFD et il n'appartient pas au juge des assurances sociales de procéder à une autre taxation. Aucun élément chiffré ne permet de s'en écarter.</w:t>
      </w:r>
    </w:p>
    <w:p>
      <w:r>
        <w:t>A/999/2010 - 6/7 - Il ressort de la communication relative à l'année 2005 que la fortune nette du couple est de 250'000 fr. et son revenu acquis sous forme de rente de 3'602'600 fr. La Caisse a, conformément à l'art. 28 al. 4 RAVS, calculé le montant des cotisations AVS/AI dues par l'intéressée sur la base de la moitié de ces chiffres. Il est vrai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Il y a toutefois lieu de rappeler que la Caisse a plus particulièrement fait application des art. 10 LAVS, 23 al. 4 et 28 al. 4 RAVS, lesquels prévoient précisément sur quelles bases doivent être déterminées les cotisations personnelles dues par les assurés non actifs, mariés. Aussi le recours est-il rejeté.</w:t>
      </w:r>
    </w:p>
    <w:p>
      <w:r>
        <w:t>A/999/2010 - 7/7 -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