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ATAS/649/2008 vom 22. Mai 2008</w:t>
      </w:r>
    </w:p>
    <w:p>
      <w:r>
        <w:t>GE Cour de justice, 2008-05-22, FR</w:t>
      </w:r>
    </w:p>
    <w:p>
      <w:r>
        <w:rPr>
          <w:b/>
        </w:rPr>
        <w:t xml:space="preserve">Quelle: </w:t>
      </w:r>
      <w:r>
        <w:t>https://mcp.opencaselaw.ch/entscheid/ge_gerichte_ATAS_649_2008</w:t>
      </w:r>
    </w:p>
    <w:p>
      <w:r>
        <w:t>FR: GE_GERICHTE ATAS/649/2008 du 22 mai 2008</w:t>
      </w:r>
    </w:p>
    <w:p>
      <w:r>
        <w:t>IT: GE_GERICHTE ATAS/649/2008 del 22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nouvelle demande de prestations a été déposée en août 2004, le présent recours concerne le droit à des prestations postérieures à l’entrée en vigueur de la LPGA. En conséquence, sur le plan matériel, cette dernière s’applique au présent litige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w:t>
      </w:r>
    </w:p>
    <w:p>
      <w:r>
        <w:rPr>
          <w:b/>
        </w:rPr>
        <w:t>E. 4</w:t>
      </w:r>
    </w:p>
    <w:p>
      <w:r>
        <w:t>Le litige porte sur la question de savoir si c'est à juste titre que l'intimé a considéré qu'il n'y a pas eu aggravation de l'état de santé du recourant.</w:t>
      </w:r>
    </w:p>
    <w:p>
      <w:r>
        <w:rPr>
          <w:b/>
        </w:rPr>
        <w:t>E. 5</w:t>
      </w:r>
    </w:p>
    <w:p>
      <w:r>
        <w:t>a) Lorsque la rente a été refusée parce que le degré d'invalidité était insuffisant, la nouvelle demande ne peut être examinée que si l'assuré rend plausible que son invalidité ou son impotence s'est modifiée de manière à influencer ses droits (art. 17</w:t>
      </w:r>
    </w:p>
    <w:p>
      <w:r>
        <w:t>A/1098/2007 - 9/15 -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En l'espèce, l'intimé est entré en matière sur la demande de révision mais a considéré que l'état de santé de l'assuré ne s'est pas modifié depuis sa décision initiale du 20 septembre 1999 au point de d'influer sur son droit aux prestations. Il convient de relever qu'il a été établi au terme de la précédente procédure que l'assuré avait droit à une rente entière du 1er mars au 30 juin 1996 et à une demi- rente du 1er juillet 1996 au 30 septembre 1999, l'assuré ayant recouvré une pleine capacité de travail au-delà de cette date. En l'occurrence, il convient donc d'examiner s'il y a eu depuis lors aggravation de l'état de santé de l'assuré.</w:t>
      </w:r>
    </w:p>
    <w:p>
      <w:r>
        <w:rPr>
          <w:b/>
        </w:rPr>
        <w:t>E. 7</w:t>
      </w:r>
    </w:p>
    <w:p>
      <w:r>
        <w:t>a) Est réputée invalidité l'incapacité de gain totale ou partielle présumée permanente ou de longue durée, résultant d'une infirmité congénitale, d'une maladie ou d'un accident (art. 8 al. 1 LPGA et 4 al. 1 LAI). Est réputée incapacité de gain</w:t>
      </w:r>
    </w:p>
    <w:p>
      <w:r>
        <w:t>A/1098/2007 - 10/15 -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w:t>
      </w:r>
    </w:p>
    <w:p>
      <w:r>
        <w:t>A/1098/2007 - 11/15 -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Selon la jurisprudence et contrairement à ce qu'allègue le recourant,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Dès lors, la jurisprudence applicable en matière de trouble somatoforme douloureux s'applique,</w:t>
      </w:r>
    </w:p>
    <w:p>
      <w:r>
        <w:t>A/1098/2007 - 12/15 - notre Haute Cour assimilant ces deux diagnostics dans le cadre de l’examen de leur caractère invalidant ; cf. ATF 132 V 65)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 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w:t>
      </w:r>
    </w:p>
    <w:p>
      <w:r>
        <w:t>A/1098/2007 - 13/15 - 1997,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9</w:t>
      </w:r>
    </w:p>
    <w:p>
      <w:r>
        <w:t>En l'espèce, le recourant invoque les avis des Drs O_________ et L_________. Force est de constater que le Dr L_________ ne motive en rien l'affirmation selon laquelle l'état de son patient se serait aggravé. Interpellé sur ce point, il a simplement fait état, en date du 10 février 2005, d'hypertension artérielle, de syndrome métabolique, de fibromyalgie et de lyse hépatocellulaire et conclu à une incapacité de travail totale depuis le 4 août 1998. Or, il a été d'ores et déjà jugé, par décisions entrées en force, que l'assuré était apte à exercer à plein temps et plein rendement une activité adaptée à ses limitations dès la fin du mois de septembre 1999, ce qui n'entrainait pas de perte de gain suffisante pour ouvrir droit à une rente. Ainsi que l'a fait remarquer l'intimé, seul le diagnostic de fibromyalgie aurait pu se révéler invalidant, mais tel n'est pas le cas. En effet, l'état dépressif moyen invoqué par le Dr O_________ - et d'ailleurs nié par les médecins du SMR, qui n'ont pas retenu de limitation au plan psychique - ne saurait constituer une comorbidité psychiatrique d'une durée et d'une acuité suffisantes au sens de la jurisprudence. Aussi doit-on considérer en l’espèce que l’existence d’une comorbidité psychiatrique, au sens voulu par la jurisprudence constante, n’est pas avérée. En effet, la jurisprudence du Tribunal fédéral citée ci-dessus, fondée sur la doctrine médicale, a clairement posé le principe selon lequel les troubles d’ordre dépressif, tel que celui dont le recourant se prévaut, ne constituent pas une comorbidité psychiatrique grave et durable à un trouble somatoforme douloureux - ou à une fibromyalgie - dès lors qu’ils sont une manifestation réactive de ce dernier. Les éléments au dossier ne permettent en effet pas de considérer que les problématiques psychiques seraient intervenues avant la symptomatologie. Reste à examiner si les autres critères permettant de reconnaître un caractère invalidant à une fibromyalgie sont réalisés en l'espèce, étant précisé qu'ils doivent revêtir une intensité et une constance certaines. En premier lieu, on doit se trouver en présence d'affections corporelles chroniques. Il doit s’agir d’affections fondées sur un substrat organique et non de douleurs (subjectivement ressenties par la personne atteinte dans sa santé). Dans le cas</w:t>
      </w:r>
    </w:p>
    <w:p>
      <w:r>
        <w:t>A/1098/2007 - 14/15 - d'espèce, il n'y a pas d'affections corporelles chroniques invalidantes s'ajoutant aux diverses plaintes douloureuses du patient. Le second facteur à examiner est celui d'un processus maladif s'étendant sur plusieurs années sans rémission durable. Dans le cas présent, le recourant continue de souffrir de gonalgies mais ces dernières n'ont pas empêché les experts de conclure à une capacité de travail entière à compter du mois de septembre 1999 dans une activité adaptée. Ce critère n'est donc pas non plus rempli. Quant à la perte d’intégration sociale dans toutes les manifestations de la vie, quoi qu’en dise le recourant, elle n’est pas non plus réalisée. Le Dr O_________ fait certes état d'une évolution vers une déchéance socio-professionnelle mais certainement pas suffisante pour atteindre la mesure exigée par la jurisprudence puisque dans son avis du 10 février 2005, le Dr L_________ considérait que l'on pouvait malgré tout exiger de son patient qu'il exerce une activité légère à mi- temps. L’état psychique de l’assuré n’est manifestement pas cristallisé. Les médecins du SMR ont conclu à l'absence de limitation fonctionnelle psychiatrique. L'avis du Dr O_________, au demeurant peu étayé, ne saurait suffire à s'écarter de celui des médecins du SMR. D'une part, il convient de rappeler que l'avis des experts doit primer sur celui du médecin traitant. D'autre part, l'avis du Dr O_________ semble sujet à caution dans la mesure où il est contredit non seulement par les médecins du SMR mais également par le Dr N_________, qui avait conclu, en 1999, à un simple trouble de l'adaptation sans conséquence invalidante, alors que le Dr O_________ soutient que l'état de son patient évoluait déjà vers une chronicisation en 1997. En définitive, le Tribunal de céans se doit de confirmer l’appréciation faite par les organes de l’assurance-invalidité, à savoir l’absence de pathologie (somatique ou psychiatrique) invalidante et donc, d'aggravation pouvant entrainer une modification du droit de l'assuré.</w:t>
      </w:r>
    </w:p>
    <w:p>
      <w:r>
        <w:rPr>
          <w:b/>
        </w:rPr>
        <w:t>E. 10</w:t>
      </w:r>
    </w:p>
    <w:p>
      <w:r>
        <w:t>Il suit de ce qui précède que le recours est mal fondé, de sorte qu’il sera rejeté.</w:t>
      </w:r>
    </w:p>
    <w:p>
      <w:r>
        <w:t>A/1098/2007 - 15/15 -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